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E3917D" w14:textId="77777777" w:rsidR="008A0561" w:rsidRPr="005255CE" w:rsidRDefault="008A0561" w:rsidP="00BC4E57">
      <w:pPr>
        <w:spacing w:before="6000" w:after="480" w:line="240" w:lineRule="auto"/>
        <w:ind w:left="-284"/>
        <w:rPr>
          <w:rFonts w:cs="Arial"/>
          <w:bCs/>
          <w:color w:val="000000" w:themeColor="text1"/>
          <w:spacing w:val="8"/>
          <w:sz w:val="64"/>
          <w:szCs w:val="64"/>
        </w:rPr>
      </w:pPr>
      <w:bookmarkStart w:id="0" w:name="_Hlk63327773"/>
      <w:r w:rsidRPr="004810B5">
        <w:rPr>
          <w:rFonts w:cs="Arial"/>
          <w:bCs/>
          <w:color w:val="000000" w:themeColor="text1"/>
          <w:spacing w:val="8"/>
          <w:sz w:val="64"/>
          <w:szCs w:val="64"/>
        </w:rPr>
        <w:t xml:space="preserve">Simple Agreement for </w:t>
      </w:r>
      <w:r>
        <w:rPr>
          <w:rFonts w:cs="Arial"/>
          <w:bCs/>
          <w:color w:val="000000" w:themeColor="text1"/>
          <w:spacing w:val="8"/>
          <w:sz w:val="64"/>
          <w:szCs w:val="64"/>
        </w:rPr>
        <w:br/>
      </w:r>
      <w:r w:rsidRPr="004810B5">
        <w:rPr>
          <w:rFonts w:cs="Arial"/>
          <w:bCs/>
          <w:color w:val="000000" w:themeColor="text1"/>
          <w:spacing w:val="8"/>
          <w:sz w:val="64"/>
          <w:szCs w:val="64"/>
        </w:rPr>
        <w:t>Future Equity (</w:t>
      </w:r>
      <w:r w:rsidRPr="00063726">
        <w:rPr>
          <w:rFonts w:cs="Arial"/>
          <w:b/>
          <w:i/>
          <w:iCs/>
          <w:color w:val="000000" w:themeColor="text1"/>
          <w:spacing w:val="8"/>
          <w:sz w:val="64"/>
          <w:szCs w:val="64"/>
        </w:rPr>
        <w:t>SAFE</w:t>
      </w:r>
      <w:r w:rsidRPr="004810B5">
        <w:rPr>
          <w:rFonts w:cs="Arial"/>
          <w:bCs/>
          <w:color w:val="000000" w:themeColor="text1"/>
          <w:spacing w:val="8"/>
          <w:sz w:val="64"/>
          <w:szCs w:val="64"/>
        </w:rPr>
        <w:t>)</w:t>
      </w:r>
    </w:p>
    <w:p w14:paraId="7D515EF1" w14:textId="77777777" w:rsidR="008A0561" w:rsidRDefault="008A0561" w:rsidP="004810B5">
      <w:pPr>
        <w:pStyle w:val="Title"/>
      </w:pPr>
      <w:r>
        <w:br w:type="page"/>
      </w:r>
    </w:p>
    <w:p w14:paraId="35B45164" w14:textId="77777777" w:rsidR="008A0561" w:rsidRPr="00310383" w:rsidRDefault="008A0561" w:rsidP="004810B5">
      <w:pPr>
        <w:rPr>
          <w:rFonts w:cs="Arial"/>
          <w:b/>
          <w:bCs/>
          <w:color w:val="0074BF"/>
          <w:sz w:val="28"/>
          <w:szCs w:val="60"/>
        </w:rPr>
      </w:pPr>
      <w:r w:rsidRPr="00310383">
        <w:rPr>
          <w:rFonts w:cs="Arial"/>
          <w:b/>
          <w:bCs/>
          <w:color w:val="0074BF"/>
          <w:sz w:val="28"/>
          <w:szCs w:val="60"/>
        </w:rPr>
        <w:lastRenderedPageBreak/>
        <w:t>Disclaimer</w:t>
      </w:r>
    </w:p>
    <w:p w14:paraId="61A33D52" w14:textId="77777777" w:rsidR="008A0561" w:rsidRDefault="008A0561" w:rsidP="004810B5">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4E746461" w14:textId="77777777" w:rsidR="008A0561" w:rsidRPr="00310383" w:rsidRDefault="008A0561" w:rsidP="004810B5">
      <w:pPr>
        <w:spacing w:after="240"/>
        <w:rPr>
          <w:rFonts w:cs="Arial"/>
          <w:color w:val="0074BF"/>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623BC529" w14:textId="77777777" w:rsidR="008A0561" w:rsidRDefault="008A0561" w:rsidP="004810B5">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2A07B3A0" w14:textId="13789EDE" w:rsidR="008A0561" w:rsidRDefault="008A0561" w:rsidP="004810B5">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0482D307" w14:textId="77777777" w:rsidR="008A0561" w:rsidRDefault="008A0561" w:rsidP="004810B5">
      <w:pPr>
        <w:spacing w:before="0" w:line="240" w:lineRule="auto"/>
      </w:pPr>
    </w:p>
    <w:p w14:paraId="29E6551D" w14:textId="77777777" w:rsidR="008A0561" w:rsidRDefault="008A0561" w:rsidP="004810B5">
      <w:pPr>
        <w:spacing w:before="0" w:line="240" w:lineRule="auto"/>
      </w:pPr>
    </w:p>
    <w:p w14:paraId="045BFB67" w14:textId="77777777" w:rsidR="008A0561" w:rsidRDefault="008A0561" w:rsidP="004810B5">
      <w:pPr>
        <w:spacing w:before="0" w:line="240" w:lineRule="auto"/>
      </w:pPr>
      <w:r>
        <w:rPr>
          <w:noProof/>
          <w:lang w:eastAsia="en-AU"/>
        </w:rPr>
        <mc:AlternateContent>
          <mc:Choice Requires="wps">
            <w:drawing>
              <wp:inline distT="0" distB="0" distL="0" distR="0" wp14:anchorId="499FF7FF" wp14:editId="18F9D991">
                <wp:extent cx="5753100" cy="1222131"/>
                <wp:effectExtent l="0" t="0" r="0" b="0"/>
                <wp:docPr id="938879345" name="Text Box 938879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3316F833" w14:textId="77777777" w:rsidR="008A0561" w:rsidRPr="004E5DD7" w:rsidRDefault="008A0561" w:rsidP="004810B5">
                            <w:pPr>
                              <w:rPr>
                                <w:b/>
                                <w:color w:val="0074BF"/>
                              </w:rPr>
                            </w:pPr>
                            <w:r w:rsidRPr="004E5DD7">
                              <w:rPr>
                                <w:b/>
                                <w:color w:val="0074BF"/>
                              </w:rPr>
                              <w:t>Guidance note warning</w:t>
                            </w:r>
                          </w:p>
                          <w:p w14:paraId="133C8237" w14:textId="77777777" w:rsidR="008A0561" w:rsidRDefault="008A0561" w:rsidP="004810B5">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499FF7FF" id="_x0000_t202" coordsize="21600,21600" o:spt="202" path="m,l,21600r21600,l21600,xe">
                <v:stroke joinstyle="miter"/>
                <v:path gradientshapeok="t" o:connecttype="rect"/>
              </v:shapetype>
              <v:shape id="Text Box 938879345"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3316F833" w14:textId="77777777" w:rsidR="008A0561" w:rsidRPr="004E5DD7" w:rsidRDefault="008A0561" w:rsidP="004810B5">
                      <w:pPr>
                        <w:rPr>
                          <w:b/>
                          <w:color w:val="0074BF"/>
                        </w:rPr>
                      </w:pPr>
                      <w:r w:rsidRPr="004E5DD7">
                        <w:rPr>
                          <w:b/>
                          <w:color w:val="0074BF"/>
                        </w:rPr>
                        <w:t>Guidance note warning</w:t>
                      </w:r>
                    </w:p>
                    <w:p w14:paraId="133C8237" w14:textId="77777777" w:rsidR="008A0561" w:rsidRDefault="008A0561" w:rsidP="004810B5">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57C844EE" w14:textId="77777777" w:rsidR="008A0561" w:rsidRDefault="008A0561" w:rsidP="004810B5">
      <w:pPr>
        <w:spacing w:before="0" w:line="240" w:lineRule="auto"/>
        <w:rPr>
          <w:sz w:val="32"/>
        </w:rPr>
      </w:pPr>
    </w:p>
    <w:p w14:paraId="7D9519E2" w14:textId="77777777" w:rsidR="008A0561" w:rsidRDefault="008A0561" w:rsidP="004810B5">
      <w:pPr>
        <w:pStyle w:val="Title"/>
      </w:pPr>
    </w:p>
    <w:p w14:paraId="7F979FFA" w14:textId="77777777" w:rsidR="007557B4" w:rsidRPr="007557B4" w:rsidRDefault="007557B4" w:rsidP="007557B4"/>
    <w:p w14:paraId="37D81CCF" w14:textId="77777777" w:rsidR="007557B4" w:rsidRPr="007557B4" w:rsidRDefault="007557B4" w:rsidP="007557B4"/>
    <w:p w14:paraId="55078A6A" w14:textId="77777777" w:rsidR="007557B4" w:rsidRDefault="007557B4" w:rsidP="007557B4">
      <w:pPr>
        <w:rPr>
          <w:sz w:val="32"/>
        </w:rPr>
      </w:pPr>
    </w:p>
    <w:p w14:paraId="020090DA" w14:textId="77777777" w:rsidR="007557B4" w:rsidRPr="007557B4" w:rsidRDefault="007557B4" w:rsidP="007557B4"/>
    <w:p w14:paraId="255C36E2" w14:textId="77777777" w:rsidR="007557B4" w:rsidRPr="007557B4" w:rsidRDefault="007557B4" w:rsidP="007557B4"/>
    <w:p w14:paraId="194AE1C2" w14:textId="77777777" w:rsidR="007557B4" w:rsidRPr="007557B4" w:rsidRDefault="007557B4" w:rsidP="007557B4"/>
    <w:p w14:paraId="304433A6" w14:textId="77777777" w:rsidR="007557B4" w:rsidRPr="007557B4" w:rsidRDefault="007557B4" w:rsidP="007557B4">
      <w:pPr>
        <w:jc w:val="right"/>
      </w:pPr>
    </w:p>
    <w:p w14:paraId="5722E3A0" w14:textId="77777777" w:rsidR="007557B4" w:rsidRDefault="007557B4" w:rsidP="007557B4">
      <w:pPr>
        <w:rPr>
          <w:sz w:val="32"/>
        </w:rPr>
      </w:pPr>
    </w:p>
    <w:p w14:paraId="3909463D" w14:textId="77777777" w:rsidR="007557B4" w:rsidRPr="007557B4" w:rsidRDefault="007557B4" w:rsidP="007557B4">
      <w:pPr>
        <w:sectPr w:rsidR="007557B4" w:rsidRPr="007557B4" w:rsidSect="008A0561">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tbl>
      <w:tblPr>
        <w:tblW w:w="0" w:type="auto"/>
        <w:tblLayout w:type="fixed"/>
        <w:tblCellMar>
          <w:left w:w="0" w:type="dxa"/>
          <w:right w:w="0" w:type="dxa"/>
        </w:tblCellMar>
        <w:tblLook w:val="0000" w:firstRow="0" w:lastRow="0" w:firstColumn="0" w:lastColumn="0" w:noHBand="0" w:noVBand="0"/>
      </w:tblPr>
      <w:tblGrid>
        <w:gridCol w:w="9072"/>
      </w:tblGrid>
      <w:tr w:rsidR="008A0561" w14:paraId="1F7EBB32" w14:textId="77777777">
        <w:trPr>
          <w:trHeight w:hRule="exact" w:val="3538"/>
        </w:trPr>
        <w:tc>
          <w:tcPr>
            <w:tcW w:w="9072" w:type="dxa"/>
            <w:shd w:val="solid" w:color="FFFFFF" w:fill="FFFFFF"/>
            <w:vAlign w:val="bottom"/>
          </w:tcPr>
          <w:p w14:paraId="33D85B97" w14:textId="77777777" w:rsidR="008A0561" w:rsidRDefault="008A0561">
            <w:pPr>
              <w:spacing w:before="120"/>
              <w:jc w:val="center"/>
              <w:rPr>
                <w:rFonts w:cs="Arial"/>
              </w:rPr>
            </w:pPr>
            <w:r>
              <w:rPr>
                <w:rFonts w:cs="Arial"/>
              </w:rPr>
              <w:lastRenderedPageBreak/>
              <w:t>[</w:t>
            </w:r>
            <w:r>
              <w:rPr>
                <w:rFonts w:cs="Arial"/>
                <w:highlight w:val="yellow"/>
              </w:rPr>
              <w:t>Insert name of company</w:t>
            </w:r>
            <w:r>
              <w:rPr>
                <w:rFonts w:cs="Arial"/>
              </w:rPr>
              <w:t>]</w:t>
            </w:r>
          </w:p>
          <w:p w14:paraId="0E3E89FF" w14:textId="77777777" w:rsidR="008A0561" w:rsidRDefault="008A0561">
            <w:pPr>
              <w:spacing w:before="120"/>
              <w:jc w:val="center"/>
              <w:rPr>
                <w:rFonts w:cs="Arial"/>
              </w:rPr>
            </w:pPr>
            <w:r>
              <w:rPr>
                <w:rFonts w:cs="Arial"/>
              </w:rPr>
              <w:t>and</w:t>
            </w:r>
          </w:p>
          <w:p w14:paraId="1040C2D2" w14:textId="77777777" w:rsidR="008A0561" w:rsidRDefault="008A0561">
            <w:pPr>
              <w:spacing w:before="120"/>
              <w:jc w:val="center"/>
              <w:rPr>
                <w:rFonts w:cs="Arial"/>
              </w:rPr>
            </w:pPr>
            <w:r>
              <w:rPr>
                <w:rFonts w:cs="Arial"/>
              </w:rPr>
              <w:t>[</w:t>
            </w:r>
            <w:r>
              <w:rPr>
                <w:rFonts w:cs="Arial"/>
                <w:highlight w:val="yellow"/>
              </w:rPr>
              <w:t>insert investor details</w:t>
            </w:r>
            <w:r>
              <w:rPr>
                <w:rFonts w:cs="Arial"/>
              </w:rPr>
              <w:t>]</w:t>
            </w:r>
          </w:p>
        </w:tc>
      </w:tr>
      <w:tr w:rsidR="008A0561" w14:paraId="448CB47F" w14:textId="77777777">
        <w:trPr>
          <w:trHeight w:hRule="exact" w:val="2126"/>
        </w:trPr>
        <w:tc>
          <w:tcPr>
            <w:tcW w:w="9072" w:type="dxa"/>
            <w:vAlign w:val="bottom"/>
          </w:tcPr>
          <w:p w14:paraId="5BE03CE3" w14:textId="77777777" w:rsidR="008A0561" w:rsidRDefault="008A0561">
            <w:pPr>
              <w:pStyle w:val="Title"/>
              <w:jc w:val="center"/>
            </w:pPr>
            <w:r>
              <w:t>Simple Agreement for Future Equity</w:t>
            </w:r>
          </w:p>
        </w:tc>
      </w:tr>
      <w:tr w:rsidR="008A0561" w14:paraId="2D9C1B3F" w14:textId="77777777">
        <w:trPr>
          <w:trHeight w:val="414"/>
        </w:trPr>
        <w:tc>
          <w:tcPr>
            <w:tcW w:w="9072" w:type="dxa"/>
          </w:tcPr>
          <w:p w14:paraId="64F5326B" w14:textId="77777777" w:rsidR="008A0561" w:rsidRDefault="008A0561">
            <w:pPr>
              <w:jc w:val="center"/>
              <w:rPr>
                <w:rFonts w:cs="Arial"/>
              </w:rPr>
            </w:pPr>
          </w:p>
        </w:tc>
      </w:tr>
      <w:tr w:rsidR="008A0561" w14:paraId="75E3248F" w14:textId="77777777">
        <w:trPr>
          <w:trHeight w:val="3856"/>
        </w:trPr>
        <w:tc>
          <w:tcPr>
            <w:tcW w:w="9072" w:type="dxa"/>
            <w:vAlign w:val="bottom"/>
          </w:tcPr>
          <w:p w14:paraId="58CE1AB3" w14:textId="77777777" w:rsidR="008A0561" w:rsidRDefault="008A0561">
            <w:pPr>
              <w:rPr>
                <w:rFonts w:cs="Arial"/>
                <w:sz w:val="18"/>
                <w:szCs w:val="18"/>
              </w:rPr>
            </w:pPr>
          </w:p>
        </w:tc>
      </w:tr>
      <w:tr w:rsidR="008A0561" w14:paraId="2D7B1F05" w14:textId="77777777">
        <w:trPr>
          <w:trHeight w:val="2518"/>
        </w:trPr>
        <w:tc>
          <w:tcPr>
            <w:tcW w:w="9072" w:type="dxa"/>
            <w:vAlign w:val="bottom"/>
          </w:tcPr>
          <w:p w14:paraId="25FE727E" w14:textId="77777777" w:rsidR="008A0561" w:rsidRDefault="008A0561">
            <w:pPr>
              <w:rPr>
                <w:rFonts w:cs="Arial"/>
                <w:sz w:val="12"/>
              </w:rPr>
            </w:pPr>
          </w:p>
        </w:tc>
      </w:tr>
    </w:tbl>
    <w:p w14:paraId="6761D516" w14:textId="77777777" w:rsidR="008A0561" w:rsidRDefault="008A0561">
      <w:pPr>
        <w:spacing w:before="0" w:after="200" w:line="276" w:lineRule="auto"/>
        <w:rPr>
          <w:rFonts w:cs="Arial"/>
        </w:rPr>
        <w:sectPr w:rsidR="008A0561" w:rsidSect="008A0561">
          <w:headerReference w:type="even" r:id="rId12"/>
          <w:headerReference w:type="default" r:id="rId13"/>
          <w:footerReference w:type="even" r:id="rId14"/>
          <w:footerReference w:type="default" r:id="rId15"/>
          <w:headerReference w:type="first" r:id="rId16"/>
          <w:footerReference w:type="first" r:id="rId17"/>
          <w:pgSz w:w="11907" w:h="16840" w:code="9"/>
          <w:pgMar w:top="1701" w:right="1134" w:bottom="1134" w:left="1418" w:header="680" w:footer="567" w:gutter="0"/>
          <w:cols w:space="720"/>
          <w:titlePg/>
          <w:docGrid w:linePitch="272"/>
        </w:sectPr>
      </w:pPr>
    </w:p>
    <w:p w14:paraId="2F3897C4" w14:textId="77777777" w:rsidR="008A0561" w:rsidRDefault="008A0561">
      <w:pPr>
        <w:spacing w:before="0"/>
        <w:rPr>
          <w:b/>
          <w:sz w:val="22"/>
          <w:lang w:eastAsia="en-AU"/>
        </w:rPr>
      </w:pPr>
      <w:r>
        <w:rPr>
          <w:b/>
          <w:sz w:val="22"/>
          <w:lang w:eastAsia="en-AU"/>
        </w:rPr>
        <w:lastRenderedPageBreak/>
        <w:t>Contents</w:t>
      </w:r>
    </w:p>
    <w:p w14:paraId="29230DD3" w14:textId="04AFE4EE" w:rsidR="008A0561" w:rsidRDefault="008A0561">
      <w:pPr>
        <w:pStyle w:val="TOC1"/>
        <w:rPr>
          <w:rFonts w:asciiTheme="minorHAnsi" w:eastAsiaTheme="minorEastAsia" w:hAnsiTheme="minorHAnsi" w:cstheme="minorBidi"/>
          <w:b w:val="0"/>
          <w:kern w:val="2"/>
          <w:sz w:val="22"/>
          <w:szCs w:val="22"/>
          <w:lang w:eastAsia="en-AU"/>
          <w14:ligatures w14:val="standardContextual"/>
        </w:rPr>
      </w:pPr>
      <w:r>
        <w:fldChar w:fldCharType="begin"/>
      </w:r>
      <w:r>
        <w:instrText xml:space="preserve"> TOC \h \z \t "Schedule,1,Schedule Heading,2,Allens Heading 1,1,Allens Heading 2,2" </w:instrText>
      </w:r>
      <w:r>
        <w:fldChar w:fldCharType="separate"/>
      </w:r>
      <w:hyperlink w:anchor="_Toc175222476" w:history="1">
        <w:r>
          <w:rPr>
            <w:rStyle w:val="Hyperlink"/>
          </w:rPr>
          <w:t>1</w:t>
        </w:r>
        <w:r>
          <w:rPr>
            <w:rFonts w:asciiTheme="minorHAnsi" w:eastAsiaTheme="minorEastAsia" w:hAnsiTheme="minorHAnsi" w:cstheme="minorBidi"/>
            <w:b w:val="0"/>
            <w:kern w:val="2"/>
            <w:sz w:val="22"/>
            <w:szCs w:val="22"/>
            <w:lang w:eastAsia="en-AU"/>
            <w14:ligatures w14:val="standardContextual"/>
          </w:rPr>
          <w:tab/>
        </w:r>
        <w:r>
          <w:rPr>
            <w:rStyle w:val="Hyperlink"/>
          </w:rPr>
          <w:t>Definitions and interpretation</w:t>
        </w:r>
        <w:r>
          <w:rPr>
            <w:webHidden/>
          </w:rPr>
          <w:tab/>
        </w:r>
        <w:r>
          <w:rPr>
            <w:webHidden/>
          </w:rPr>
          <w:fldChar w:fldCharType="begin"/>
        </w:r>
        <w:r>
          <w:rPr>
            <w:webHidden/>
          </w:rPr>
          <w:instrText xml:space="preserve"> PAGEREF _Toc175222476 \h </w:instrText>
        </w:r>
        <w:r>
          <w:rPr>
            <w:webHidden/>
          </w:rPr>
        </w:r>
        <w:r>
          <w:rPr>
            <w:webHidden/>
          </w:rPr>
          <w:fldChar w:fldCharType="separate"/>
        </w:r>
        <w:r w:rsidR="00E57E1B">
          <w:rPr>
            <w:webHidden/>
          </w:rPr>
          <w:t>1</w:t>
        </w:r>
        <w:r>
          <w:rPr>
            <w:webHidden/>
          </w:rPr>
          <w:fldChar w:fldCharType="end"/>
        </w:r>
      </w:hyperlink>
    </w:p>
    <w:p w14:paraId="40D62667" w14:textId="41401B14"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77" w:history="1">
        <w:r>
          <w:rPr>
            <w:rStyle w:val="Hyperlink"/>
          </w:rPr>
          <w:t>1.1</w:t>
        </w:r>
        <w:r>
          <w:rPr>
            <w:rFonts w:asciiTheme="minorHAnsi" w:eastAsiaTheme="minorEastAsia" w:hAnsiTheme="minorHAnsi" w:cstheme="minorBidi"/>
            <w:kern w:val="2"/>
            <w:sz w:val="22"/>
            <w:szCs w:val="22"/>
            <w:lang w:eastAsia="en-AU"/>
            <w14:ligatures w14:val="standardContextual"/>
          </w:rPr>
          <w:tab/>
        </w:r>
        <w:r>
          <w:rPr>
            <w:rStyle w:val="Hyperlink"/>
          </w:rPr>
          <w:t>Definitions</w:t>
        </w:r>
        <w:r>
          <w:rPr>
            <w:webHidden/>
          </w:rPr>
          <w:tab/>
        </w:r>
        <w:r>
          <w:rPr>
            <w:webHidden/>
          </w:rPr>
          <w:fldChar w:fldCharType="begin"/>
        </w:r>
        <w:r>
          <w:rPr>
            <w:webHidden/>
          </w:rPr>
          <w:instrText xml:space="preserve"> PAGEREF _Toc175222477 \h </w:instrText>
        </w:r>
        <w:r>
          <w:rPr>
            <w:webHidden/>
          </w:rPr>
        </w:r>
        <w:r>
          <w:rPr>
            <w:webHidden/>
          </w:rPr>
          <w:fldChar w:fldCharType="separate"/>
        </w:r>
        <w:r w:rsidR="00E57E1B">
          <w:rPr>
            <w:webHidden/>
          </w:rPr>
          <w:t>1</w:t>
        </w:r>
        <w:r>
          <w:rPr>
            <w:webHidden/>
          </w:rPr>
          <w:fldChar w:fldCharType="end"/>
        </w:r>
      </w:hyperlink>
    </w:p>
    <w:p w14:paraId="728C1395" w14:textId="7D419181"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78" w:history="1">
        <w:r>
          <w:rPr>
            <w:rStyle w:val="Hyperlink"/>
          </w:rPr>
          <w:t>1.2</w:t>
        </w:r>
        <w:r>
          <w:rPr>
            <w:rFonts w:asciiTheme="minorHAnsi" w:eastAsiaTheme="minorEastAsia" w:hAnsiTheme="minorHAnsi" w:cstheme="minorBidi"/>
            <w:kern w:val="2"/>
            <w:sz w:val="22"/>
            <w:szCs w:val="22"/>
            <w:lang w:eastAsia="en-AU"/>
            <w14:ligatures w14:val="standardContextual"/>
          </w:rPr>
          <w:tab/>
        </w:r>
        <w:r>
          <w:rPr>
            <w:rStyle w:val="Hyperlink"/>
          </w:rPr>
          <w:t>Interpretation</w:t>
        </w:r>
        <w:r>
          <w:rPr>
            <w:webHidden/>
          </w:rPr>
          <w:tab/>
        </w:r>
        <w:r>
          <w:rPr>
            <w:webHidden/>
          </w:rPr>
          <w:fldChar w:fldCharType="begin"/>
        </w:r>
        <w:r>
          <w:rPr>
            <w:webHidden/>
          </w:rPr>
          <w:instrText xml:space="preserve"> PAGEREF _Toc175222478 \h </w:instrText>
        </w:r>
        <w:r>
          <w:rPr>
            <w:webHidden/>
          </w:rPr>
        </w:r>
        <w:r>
          <w:rPr>
            <w:webHidden/>
          </w:rPr>
          <w:fldChar w:fldCharType="separate"/>
        </w:r>
        <w:r w:rsidR="00E57E1B">
          <w:rPr>
            <w:webHidden/>
          </w:rPr>
          <w:t>5</w:t>
        </w:r>
        <w:r>
          <w:rPr>
            <w:webHidden/>
          </w:rPr>
          <w:fldChar w:fldCharType="end"/>
        </w:r>
      </w:hyperlink>
    </w:p>
    <w:p w14:paraId="02D836FD" w14:textId="31D47945"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79" w:history="1">
        <w:r>
          <w:rPr>
            <w:rStyle w:val="Hyperlink"/>
          </w:rPr>
          <w:t>2</w:t>
        </w:r>
        <w:r>
          <w:rPr>
            <w:rFonts w:asciiTheme="minorHAnsi" w:eastAsiaTheme="minorEastAsia" w:hAnsiTheme="minorHAnsi" w:cstheme="minorBidi"/>
            <w:b w:val="0"/>
            <w:kern w:val="2"/>
            <w:sz w:val="22"/>
            <w:szCs w:val="22"/>
            <w:lang w:eastAsia="en-AU"/>
            <w14:ligatures w14:val="standardContextual"/>
          </w:rPr>
          <w:tab/>
        </w:r>
        <w:r>
          <w:rPr>
            <w:rStyle w:val="Hyperlink"/>
          </w:rPr>
          <w:t>Agreement to invest</w:t>
        </w:r>
        <w:r>
          <w:rPr>
            <w:webHidden/>
          </w:rPr>
          <w:tab/>
        </w:r>
        <w:r>
          <w:rPr>
            <w:webHidden/>
          </w:rPr>
          <w:fldChar w:fldCharType="begin"/>
        </w:r>
        <w:r>
          <w:rPr>
            <w:webHidden/>
          </w:rPr>
          <w:instrText xml:space="preserve"> PAGEREF _Toc175222479 \h </w:instrText>
        </w:r>
        <w:r>
          <w:rPr>
            <w:webHidden/>
          </w:rPr>
        </w:r>
        <w:r>
          <w:rPr>
            <w:webHidden/>
          </w:rPr>
          <w:fldChar w:fldCharType="separate"/>
        </w:r>
        <w:r w:rsidR="00E57E1B">
          <w:rPr>
            <w:webHidden/>
          </w:rPr>
          <w:t>6</w:t>
        </w:r>
        <w:r>
          <w:rPr>
            <w:webHidden/>
          </w:rPr>
          <w:fldChar w:fldCharType="end"/>
        </w:r>
      </w:hyperlink>
    </w:p>
    <w:p w14:paraId="3BC24521" w14:textId="28DE1BB4"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0" w:history="1">
        <w:r>
          <w:rPr>
            <w:rStyle w:val="Hyperlink"/>
          </w:rPr>
          <w:t>3</w:t>
        </w:r>
        <w:r>
          <w:rPr>
            <w:rFonts w:asciiTheme="minorHAnsi" w:eastAsiaTheme="minorEastAsia" w:hAnsiTheme="minorHAnsi" w:cstheme="minorBidi"/>
            <w:b w:val="0"/>
            <w:kern w:val="2"/>
            <w:sz w:val="22"/>
            <w:szCs w:val="22"/>
            <w:lang w:eastAsia="en-AU"/>
            <w14:ligatures w14:val="standardContextual"/>
          </w:rPr>
          <w:tab/>
        </w:r>
        <w:r>
          <w:rPr>
            <w:rStyle w:val="Hyperlink"/>
          </w:rPr>
          <w:t>Right to receive securities on Eligible Financing</w:t>
        </w:r>
        <w:r>
          <w:rPr>
            <w:webHidden/>
          </w:rPr>
          <w:tab/>
        </w:r>
        <w:r>
          <w:rPr>
            <w:webHidden/>
          </w:rPr>
          <w:fldChar w:fldCharType="begin"/>
        </w:r>
        <w:r>
          <w:rPr>
            <w:webHidden/>
          </w:rPr>
          <w:instrText xml:space="preserve"> PAGEREF _Toc175222480 \h </w:instrText>
        </w:r>
        <w:r>
          <w:rPr>
            <w:webHidden/>
          </w:rPr>
        </w:r>
        <w:r>
          <w:rPr>
            <w:webHidden/>
          </w:rPr>
          <w:fldChar w:fldCharType="separate"/>
        </w:r>
        <w:r w:rsidR="00E57E1B">
          <w:rPr>
            <w:webHidden/>
          </w:rPr>
          <w:t>6</w:t>
        </w:r>
        <w:r>
          <w:rPr>
            <w:webHidden/>
          </w:rPr>
          <w:fldChar w:fldCharType="end"/>
        </w:r>
      </w:hyperlink>
    </w:p>
    <w:p w14:paraId="26E2C5D4" w14:textId="15237AC6"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1" w:history="1">
        <w:r>
          <w:rPr>
            <w:rStyle w:val="Hyperlink"/>
          </w:rPr>
          <w:t>4</w:t>
        </w:r>
        <w:r>
          <w:rPr>
            <w:rFonts w:asciiTheme="minorHAnsi" w:eastAsiaTheme="minorEastAsia" w:hAnsiTheme="minorHAnsi" w:cstheme="minorBidi"/>
            <w:b w:val="0"/>
            <w:kern w:val="2"/>
            <w:sz w:val="22"/>
            <w:szCs w:val="22"/>
            <w:lang w:eastAsia="en-AU"/>
            <w14:ligatures w14:val="standardContextual"/>
          </w:rPr>
          <w:tab/>
        </w:r>
        <w:r>
          <w:rPr>
            <w:rStyle w:val="Hyperlink"/>
          </w:rPr>
          <w:t>Right to receive equity securities or cash on Exit Event</w:t>
        </w:r>
        <w:r>
          <w:rPr>
            <w:webHidden/>
          </w:rPr>
          <w:tab/>
        </w:r>
        <w:r>
          <w:rPr>
            <w:webHidden/>
          </w:rPr>
          <w:fldChar w:fldCharType="begin"/>
        </w:r>
        <w:r>
          <w:rPr>
            <w:webHidden/>
          </w:rPr>
          <w:instrText xml:space="preserve"> PAGEREF _Toc175222481 \h </w:instrText>
        </w:r>
        <w:r>
          <w:rPr>
            <w:webHidden/>
          </w:rPr>
        </w:r>
        <w:r>
          <w:rPr>
            <w:webHidden/>
          </w:rPr>
          <w:fldChar w:fldCharType="separate"/>
        </w:r>
        <w:r w:rsidR="00E57E1B">
          <w:rPr>
            <w:webHidden/>
          </w:rPr>
          <w:t>7</w:t>
        </w:r>
        <w:r>
          <w:rPr>
            <w:webHidden/>
          </w:rPr>
          <w:fldChar w:fldCharType="end"/>
        </w:r>
      </w:hyperlink>
    </w:p>
    <w:p w14:paraId="64CC2164" w14:textId="17420985"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2" w:history="1">
        <w:r>
          <w:rPr>
            <w:rStyle w:val="Hyperlink"/>
          </w:rPr>
          <w:t>5</w:t>
        </w:r>
        <w:r>
          <w:rPr>
            <w:rFonts w:asciiTheme="minorHAnsi" w:eastAsiaTheme="minorEastAsia" w:hAnsiTheme="minorHAnsi" w:cstheme="minorBidi"/>
            <w:b w:val="0"/>
            <w:kern w:val="2"/>
            <w:sz w:val="22"/>
            <w:szCs w:val="22"/>
            <w:lang w:eastAsia="en-AU"/>
            <w14:ligatures w14:val="standardContextual"/>
          </w:rPr>
          <w:tab/>
        </w:r>
        <w:r>
          <w:rPr>
            <w:rStyle w:val="Hyperlink"/>
          </w:rPr>
          <w:t>Insolvency Event</w:t>
        </w:r>
        <w:r>
          <w:rPr>
            <w:webHidden/>
          </w:rPr>
          <w:tab/>
        </w:r>
        <w:r>
          <w:rPr>
            <w:webHidden/>
          </w:rPr>
          <w:fldChar w:fldCharType="begin"/>
        </w:r>
        <w:r>
          <w:rPr>
            <w:webHidden/>
          </w:rPr>
          <w:instrText xml:space="preserve"> PAGEREF _Toc175222482 \h </w:instrText>
        </w:r>
        <w:r>
          <w:rPr>
            <w:webHidden/>
          </w:rPr>
        </w:r>
        <w:r>
          <w:rPr>
            <w:webHidden/>
          </w:rPr>
          <w:fldChar w:fldCharType="separate"/>
        </w:r>
        <w:r w:rsidR="00E57E1B">
          <w:rPr>
            <w:webHidden/>
          </w:rPr>
          <w:t>8</w:t>
        </w:r>
        <w:r>
          <w:rPr>
            <w:webHidden/>
          </w:rPr>
          <w:fldChar w:fldCharType="end"/>
        </w:r>
      </w:hyperlink>
    </w:p>
    <w:p w14:paraId="0629EF32" w14:textId="0A46F5F4"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3" w:history="1">
        <w:r>
          <w:rPr>
            <w:rStyle w:val="Hyperlink"/>
          </w:rPr>
          <w:t>6</w:t>
        </w:r>
        <w:r>
          <w:rPr>
            <w:rFonts w:asciiTheme="minorHAnsi" w:eastAsiaTheme="minorEastAsia" w:hAnsiTheme="minorHAnsi" w:cstheme="minorBidi"/>
            <w:b w:val="0"/>
            <w:kern w:val="2"/>
            <w:sz w:val="22"/>
            <w:szCs w:val="22"/>
            <w:lang w:eastAsia="en-AU"/>
            <w14:ligatures w14:val="standardContextual"/>
          </w:rPr>
          <w:tab/>
        </w:r>
        <w:r>
          <w:rPr>
            <w:rStyle w:val="Hyperlink"/>
          </w:rPr>
          <w:t>Termination</w:t>
        </w:r>
        <w:r>
          <w:rPr>
            <w:webHidden/>
          </w:rPr>
          <w:tab/>
        </w:r>
        <w:r>
          <w:rPr>
            <w:webHidden/>
          </w:rPr>
          <w:fldChar w:fldCharType="begin"/>
        </w:r>
        <w:r>
          <w:rPr>
            <w:webHidden/>
          </w:rPr>
          <w:instrText xml:space="preserve"> PAGEREF _Toc175222483 \h </w:instrText>
        </w:r>
        <w:r>
          <w:rPr>
            <w:webHidden/>
          </w:rPr>
        </w:r>
        <w:r>
          <w:rPr>
            <w:webHidden/>
          </w:rPr>
          <w:fldChar w:fldCharType="separate"/>
        </w:r>
        <w:r w:rsidR="00E57E1B">
          <w:rPr>
            <w:webHidden/>
          </w:rPr>
          <w:t>8</w:t>
        </w:r>
        <w:r>
          <w:rPr>
            <w:webHidden/>
          </w:rPr>
          <w:fldChar w:fldCharType="end"/>
        </w:r>
      </w:hyperlink>
    </w:p>
    <w:p w14:paraId="11C9F9EE" w14:textId="0C8C573A"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4" w:history="1">
        <w:r>
          <w:rPr>
            <w:rStyle w:val="Hyperlink"/>
          </w:rPr>
          <w:t>7</w:t>
        </w:r>
        <w:r>
          <w:rPr>
            <w:rFonts w:asciiTheme="minorHAnsi" w:eastAsiaTheme="minorEastAsia" w:hAnsiTheme="minorHAnsi" w:cstheme="minorBidi"/>
            <w:b w:val="0"/>
            <w:kern w:val="2"/>
            <w:sz w:val="22"/>
            <w:szCs w:val="22"/>
            <w:lang w:eastAsia="en-AU"/>
            <w14:ligatures w14:val="standardContextual"/>
          </w:rPr>
          <w:tab/>
        </w:r>
        <w:r>
          <w:rPr>
            <w:rStyle w:val="Hyperlink"/>
          </w:rPr>
          <w:t>Warranties</w:t>
        </w:r>
        <w:r>
          <w:rPr>
            <w:webHidden/>
          </w:rPr>
          <w:tab/>
        </w:r>
        <w:r>
          <w:rPr>
            <w:webHidden/>
          </w:rPr>
          <w:fldChar w:fldCharType="begin"/>
        </w:r>
        <w:r>
          <w:rPr>
            <w:webHidden/>
          </w:rPr>
          <w:instrText xml:space="preserve"> PAGEREF _Toc175222484 \h </w:instrText>
        </w:r>
        <w:r>
          <w:rPr>
            <w:webHidden/>
          </w:rPr>
        </w:r>
        <w:r>
          <w:rPr>
            <w:webHidden/>
          </w:rPr>
          <w:fldChar w:fldCharType="separate"/>
        </w:r>
        <w:r w:rsidR="00E57E1B">
          <w:rPr>
            <w:webHidden/>
          </w:rPr>
          <w:t>8</w:t>
        </w:r>
        <w:r>
          <w:rPr>
            <w:webHidden/>
          </w:rPr>
          <w:fldChar w:fldCharType="end"/>
        </w:r>
      </w:hyperlink>
    </w:p>
    <w:p w14:paraId="0C85CBBF" w14:textId="006F1569"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85" w:history="1">
        <w:r>
          <w:rPr>
            <w:rStyle w:val="Hyperlink"/>
          </w:rPr>
          <w:t>7.1</w:t>
        </w:r>
        <w:r>
          <w:rPr>
            <w:rFonts w:asciiTheme="minorHAnsi" w:eastAsiaTheme="minorEastAsia" w:hAnsiTheme="minorHAnsi" w:cstheme="minorBidi"/>
            <w:kern w:val="2"/>
            <w:sz w:val="22"/>
            <w:szCs w:val="22"/>
            <w:lang w:eastAsia="en-AU"/>
            <w14:ligatures w14:val="standardContextual"/>
          </w:rPr>
          <w:tab/>
        </w:r>
        <w:r>
          <w:rPr>
            <w:rStyle w:val="Hyperlink"/>
          </w:rPr>
          <w:t>Company Warranties</w:t>
        </w:r>
        <w:r>
          <w:rPr>
            <w:webHidden/>
          </w:rPr>
          <w:tab/>
        </w:r>
        <w:r>
          <w:rPr>
            <w:webHidden/>
          </w:rPr>
          <w:fldChar w:fldCharType="begin"/>
        </w:r>
        <w:r>
          <w:rPr>
            <w:webHidden/>
          </w:rPr>
          <w:instrText xml:space="preserve"> PAGEREF _Toc175222485 \h </w:instrText>
        </w:r>
        <w:r>
          <w:rPr>
            <w:webHidden/>
          </w:rPr>
        </w:r>
        <w:r>
          <w:rPr>
            <w:webHidden/>
          </w:rPr>
          <w:fldChar w:fldCharType="separate"/>
        </w:r>
        <w:r w:rsidR="00E57E1B">
          <w:rPr>
            <w:webHidden/>
          </w:rPr>
          <w:t>8</w:t>
        </w:r>
        <w:r>
          <w:rPr>
            <w:webHidden/>
          </w:rPr>
          <w:fldChar w:fldCharType="end"/>
        </w:r>
      </w:hyperlink>
    </w:p>
    <w:p w14:paraId="03E61F47" w14:textId="3354E24C"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86" w:history="1">
        <w:r>
          <w:rPr>
            <w:rStyle w:val="Hyperlink"/>
          </w:rPr>
          <w:t>7.2</w:t>
        </w:r>
        <w:r>
          <w:rPr>
            <w:rFonts w:asciiTheme="minorHAnsi" w:eastAsiaTheme="minorEastAsia" w:hAnsiTheme="minorHAnsi" w:cstheme="minorBidi"/>
            <w:kern w:val="2"/>
            <w:sz w:val="22"/>
            <w:szCs w:val="22"/>
            <w:lang w:eastAsia="en-AU"/>
            <w14:ligatures w14:val="standardContextual"/>
          </w:rPr>
          <w:tab/>
        </w:r>
        <w:r>
          <w:rPr>
            <w:rStyle w:val="Hyperlink"/>
          </w:rPr>
          <w:t>Maximum liability</w:t>
        </w:r>
        <w:r>
          <w:rPr>
            <w:webHidden/>
          </w:rPr>
          <w:tab/>
        </w:r>
        <w:r>
          <w:rPr>
            <w:webHidden/>
          </w:rPr>
          <w:fldChar w:fldCharType="begin"/>
        </w:r>
        <w:r>
          <w:rPr>
            <w:webHidden/>
          </w:rPr>
          <w:instrText xml:space="preserve"> PAGEREF _Toc175222486 \h </w:instrText>
        </w:r>
        <w:r>
          <w:rPr>
            <w:webHidden/>
          </w:rPr>
        </w:r>
        <w:r>
          <w:rPr>
            <w:webHidden/>
          </w:rPr>
          <w:fldChar w:fldCharType="separate"/>
        </w:r>
        <w:r w:rsidR="00E57E1B">
          <w:rPr>
            <w:webHidden/>
          </w:rPr>
          <w:t>9</w:t>
        </w:r>
        <w:r>
          <w:rPr>
            <w:webHidden/>
          </w:rPr>
          <w:fldChar w:fldCharType="end"/>
        </w:r>
      </w:hyperlink>
    </w:p>
    <w:p w14:paraId="2E4AA5CF" w14:textId="1EF5F0EE"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87" w:history="1">
        <w:r>
          <w:rPr>
            <w:rStyle w:val="Hyperlink"/>
          </w:rPr>
          <w:t>7.3</w:t>
        </w:r>
        <w:r>
          <w:rPr>
            <w:rFonts w:asciiTheme="minorHAnsi" w:eastAsiaTheme="minorEastAsia" w:hAnsiTheme="minorHAnsi" w:cstheme="minorBidi"/>
            <w:kern w:val="2"/>
            <w:sz w:val="22"/>
            <w:szCs w:val="22"/>
            <w:lang w:eastAsia="en-AU"/>
            <w14:ligatures w14:val="standardContextual"/>
          </w:rPr>
          <w:tab/>
        </w:r>
        <w:r>
          <w:rPr>
            <w:rStyle w:val="Hyperlink"/>
          </w:rPr>
          <w:t>No liability for indirect or consequential loss</w:t>
        </w:r>
        <w:r>
          <w:rPr>
            <w:webHidden/>
          </w:rPr>
          <w:tab/>
        </w:r>
        <w:r>
          <w:rPr>
            <w:webHidden/>
          </w:rPr>
          <w:fldChar w:fldCharType="begin"/>
        </w:r>
        <w:r>
          <w:rPr>
            <w:webHidden/>
          </w:rPr>
          <w:instrText xml:space="preserve"> PAGEREF _Toc175222487 \h </w:instrText>
        </w:r>
        <w:r>
          <w:rPr>
            <w:webHidden/>
          </w:rPr>
        </w:r>
        <w:r>
          <w:rPr>
            <w:webHidden/>
          </w:rPr>
          <w:fldChar w:fldCharType="separate"/>
        </w:r>
        <w:r w:rsidR="00E57E1B">
          <w:rPr>
            <w:webHidden/>
          </w:rPr>
          <w:t>9</w:t>
        </w:r>
        <w:r>
          <w:rPr>
            <w:webHidden/>
          </w:rPr>
          <w:fldChar w:fldCharType="end"/>
        </w:r>
      </w:hyperlink>
    </w:p>
    <w:p w14:paraId="00C7C6D4" w14:textId="1E5DB962"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88" w:history="1">
        <w:r>
          <w:rPr>
            <w:rStyle w:val="Hyperlink"/>
          </w:rPr>
          <w:t>7.4</w:t>
        </w:r>
        <w:r>
          <w:rPr>
            <w:rFonts w:asciiTheme="minorHAnsi" w:eastAsiaTheme="minorEastAsia" w:hAnsiTheme="minorHAnsi" w:cstheme="minorBidi"/>
            <w:kern w:val="2"/>
            <w:sz w:val="22"/>
            <w:szCs w:val="22"/>
            <w:lang w:eastAsia="en-AU"/>
            <w14:ligatures w14:val="standardContextual"/>
          </w:rPr>
          <w:tab/>
        </w:r>
        <w:r>
          <w:rPr>
            <w:rStyle w:val="Hyperlink"/>
          </w:rPr>
          <w:t>No inducement</w:t>
        </w:r>
        <w:r>
          <w:rPr>
            <w:webHidden/>
          </w:rPr>
          <w:tab/>
        </w:r>
        <w:r>
          <w:rPr>
            <w:webHidden/>
          </w:rPr>
          <w:fldChar w:fldCharType="begin"/>
        </w:r>
        <w:r>
          <w:rPr>
            <w:webHidden/>
          </w:rPr>
          <w:instrText xml:space="preserve"> PAGEREF _Toc175222488 \h </w:instrText>
        </w:r>
        <w:r>
          <w:rPr>
            <w:webHidden/>
          </w:rPr>
        </w:r>
        <w:r>
          <w:rPr>
            <w:webHidden/>
          </w:rPr>
          <w:fldChar w:fldCharType="separate"/>
        </w:r>
        <w:r w:rsidR="00E57E1B">
          <w:rPr>
            <w:webHidden/>
          </w:rPr>
          <w:t>9</w:t>
        </w:r>
        <w:r>
          <w:rPr>
            <w:webHidden/>
          </w:rPr>
          <w:fldChar w:fldCharType="end"/>
        </w:r>
      </w:hyperlink>
    </w:p>
    <w:p w14:paraId="0B235137" w14:textId="16F990C2"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89" w:history="1">
        <w:r>
          <w:rPr>
            <w:rStyle w:val="Hyperlink"/>
          </w:rPr>
          <w:t>8</w:t>
        </w:r>
        <w:r>
          <w:rPr>
            <w:rFonts w:asciiTheme="minorHAnsi" w:eastAsiaTheme="minorEastAsia" w:hAnsiTheme="minorHAnsi" w:cstheme="minorBidi"/>
            <w:b w:val="0"/>
            <w:kern w:val="2"/>
            <w:sz w:val="22"/>
            <w:szCs w:val="22"/>
            <w:lang w:eastAsia="en-AU"/>
            <w14:ligatures w14:val="standardContextual"/>
          </w:rPr>
          <w:tab/>
        </w:r>
        <w:r>
          <w:rPr>
            <w:rStyle w:val="Hyperlink"/>
          </w:rPr>
          <w:t>Investor warranties</w:t>
        </w:r>
        <w:r>
          <w:rPr>
            <w:webHidden/>
          </w:rPr>
          <w:tab/>
        </w:r>
        <w:r>
          <w:rPr>
            <w:webHidden/>
          </w:rPr>
          <w:fldChar w:fldCharType="begin"/>
        </w:r>
        <w:r>
          <w:rPr>
            <w:webHidden/>
          </w:rPr>
          <w:instrText xml:space="preserve"> PAGEREF _Toc175222489 \h </w:instrText>
        </w:r>
        <w:r>
          <w:rPr>
            <w:webHidden/>
          </w:rPr>
        </w:r>
        <w:r>
          <w:rPr>
            <w:webHidden/>
          </w:rPr>
          <w:fldChar w:fldCharType="separate"/>
        </w:r>
        <w:r w:rsidR="00E57E1B">
          <w:rPr>
            <w:webHidden/>
          </w:rPr>
          <w:t>9</w:t>
        </w:r>
        <w:r>
          <w:rPr>
            <w:webHidden/>
          </w:rPr>
          <w:fldChar w:fldCharType="end"/>
        </w:r>
      </w:hyperlink>
    </w:p>
    <w:p w14:paraId="64EF662C" w14:textId="654B69E8"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90" w:history="1">
        <w:r>
          <w:rPr>
            <w:rStyle w:val="Hyperlink"/>
            <w:kern w:val="20"/>
          </w:rPr>
          <w:t>9</w:t>
        </w:r>
        <w:r>
          <w:rPr>
            <w:rFonts w:asciiTheme="minorHAnsi" w:eastAsiaTheme="minorEastAsia" w:hAnsiTheme="minorHAnsi" w:cstheme="minorBidi"/>
            <w:b w:val="0"/>
            <w:kern w:val="2"/>
            <w:sz w:val="22"/>
            <w:szCs w:val="22"/>
            <w:lang w:eastAsia="en-AU"/>
            <w14:ligatures w14:val="standardContextual"/>
          </w:rPr>
          <w:tab/>
        </w:r>
        <w:r>
          <w:rPr>
            <w:rStyle w:val="Hyperlink"/>
            <w:kern w:val="20"/>
          </w:rPr>
          <w:t>Confidentiality</w:t>
        </w:r>
        <w:r>
          <w:rPr>
            <w:webHidden/>
          </w:rPr>
          <w:tab/>
        </w:r>
        <w:r>
          <w:rPr>
            <w:webHidden/>
          </w:rPr>
          <w:fldChar w:fldCharType="begin"/>
        </w:r>
        <w:r>
          <w:rPr>
            <w:webHidden/>
          </w:rPr>
          <w:instrText xml:space="preserve"> PAGEREF _Toc175222490 \h </w:instrText>
        </w:r>
        <w:r>
          <w:rPr>
            <w:webHidden/>
          </w:rPr>
        </w:r>
        <w:r>
          <w:rPr>
            <w:webHidden/>
          </w:rPr>
          <w:fldChar w:fldCharType="separate"/>
        </w:r>
        <w:r w:rsidR="00E57E1B">
          <w:rPr>
            <w:webHidden/>
          </w:rPr>
          <w:t>10</w:t>
        </w:r>
        <w:r>
          <w:rPr>
            <w:webHidden/>
          </w:rPr>
          <w:fldChar w:fldCharType="end"/>
        </w:r>
      </w:hyperlink>
    </w:p>
    <w:p w14:paraId="4F2F9E5B" w14:textId="1B3E2EE6"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91" w:history="1">
        <w:r>
          <w:rPr>
            <w:rStyle w:val="Hyperlink"/>
            <w:kern w:val="20"/>
          </w:rPr>
          <w:t>10</w:t>
        </w:r>
        <w:r>
          <w:rPr>
            <w:rFonts w:asciiTheme="minorHAnsi" w:eastAsiaTheme="minorEastAsia" w:hAnsiTheme="minorHAnsi" w:cstheme="minorBidi"/>
            <w:b w:val="0"/>
            <w:kern w:val="2"/>
            <w:sz w:val="22"/>
            <w:szCs w:val="22"/>
            <w:lang w:eastAsia="en-AU"/>
            <w14:ligatures w14:val="standardContextual"/>
          </w:rPr>
          <w:tab/>
        </w:r>
        <w:r>
          <w:rPr>
            <w:rStyle w:val="Hyperlink"/>
            <w:kern w:val="20"/>
          </w:rPr>
          <w:t>Notices</w:t>
        </w:r>
        <w:r>
          <w:rPr>
            <w:webHidden/>
          </w:rPr>
          <w:tab/>
        </w:r>
        <w:r>
          <w:rPr>
            <w:webHidden/>
          </w:rPr>
          <w:fldChar w:fldCharType="begin"/>
        </w:r>
        <w:r>
          <w:rPr>
            <w:webHidden/>
          </w:rPr>
          <w:instrText xml:space="preserve"> PAGEREF _Toc175222491 \h </w:instrText>
        </w:r>
        <w:r>
          <w:rPr>
            <w:webHidden/>
          </w:rPr>
        </w:r>
        <w:r>
          <w:rPr>
            <w:webHidden/>
          </w:rPr>
          <w:fldChar w:fldCharType="separate"/>
        </w:r>
        <w:r w:rsidR="00E57E1B">
          <w:rPr>
            <w:webHidden/>
          </w:rPr>
          <w:t>11</w:t>
        </w:r>
        <w:r>
          <w:rPr>
            <w:webHidden/>
          </w:rPr>
          <w:fldChar w:fldCharType="end"/>
        </w:r>
      </w:hyperlink>
    </w:p>
    <w:p w14:paraId="70DAEEA9" w14:textId="1A8B73DF" w:rsidR="008A0561" w:rsidRDefault="008A0561">
      <w:pPr>
        <w:pStyle w:val="TOC1"/>
        <w:rPr>
          <w:rFonts w:asciiTheme="minorHAnsi" w:eastAsiaTheme="minorEastAsia" w:hAnsiTheme="minorHAnsi" w:cstheme="minorBidi"/>
          <w:b w:val="0"/>
          <w:kern w:val="2"/>
          <w:sz w:val="22"/>
          <w:szCs w:val="22"/>
          <w:lang w:eastAsia="en-AU"/>
          <w14:ligatures w14:val="standardContextual"/>
        </w:rPr>
      </w:pPr>
      <w:hyperlink w:anchor="_Toc175222492" w:history="1">
        <w:r>
          <w:rPr>
            <w:rStyle w:val="Hyperlink"/>
            <w:kern w:val="20"/>
          </w:rPr>
          <w:t>11</w:t>
        </w:r>
        <w:r>
          <w:rPr>
            <w:rFonts w:asciiTheme="minorHAnsi" w:eastAsiaTheme="minorEastAsia" w:hAnsiTheme="minorHAnsi" w:cstheme="minorBidi"/>
            <w:b w:val="0"/>
            <w:kern w:val="2"/>
            <w:sz w:val="22"/>
            <w:szCs w:val="22"/>
            <w:lang w:eastAsia="en-AU"/>
            <w14:ligatures w14:val="standardContextual"/>
          </w:rPr>
          <w:tab/>
        </w:r>
        <w:r>
          <w:rPr>
            <w:rStyle w:val="Hyperlink"/>
            <w:kern w:val="20"/>
          </w:rPr>
          <w:t>General</w:t>
        </w:r>
        <w:r>
          <w:rPr>
            <w:webHidden/>
          </w:rPr>
          <w:tab/>
        </w:r>
        <w:r>
          <w:rPr>
            <w:webHidden/>
          </w:rPr>
          <w:fldChar w:fldCharType="begin"/>
        </w:r>
        <w:r>
          <w:rPr>
            <w:webHidden/>
          </w:rPr>
          <w:instrText xml:space="preserve"> PAGEREF _Toc175222492 \h </w:instrText>
        </w:r>
        <w:r>
          <w:rPr>
            <w:webHidden/>
          </w:rPr>
        </w:r>
        <w:r>
          <w:rPr>
            <w:webHidden/>
          </w:rPr>
          <w:fldChar w:fldCharType="separate"/>
        </w:r>
        <w:r w:rsidR="00E57E1B">
          <w:rPr>
            <w:webHidden/>
          </w:rPr>
          <w:t>11</w:t>
        </w:r>
        <w:r>
          <w:rPr>
            <w:webHidden/>
          </w:rPr>
          <w:fldChar w:fldCharType="end"/>
        </w:r>
      </w:hyperlink>
    </w:p>
    <w:p w14:paraId="1A02AEED" w14:textId="6F2E163F"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3" w:history="1">
        <w:r>
          <w:rPr>
            <w:rStyle w:val="Hyperlink"/>
          </w:rPr>
          <w:t>11.1</w:t>
        </w:r>
        <w:r>
          <w:rPr>
            <w:rFonts w:asciiTheme="minorHAnsi" w:eastAsiaTheme="minorEastAsia" w:hAnsiTheme="minorHAnsi" w:cstheme="minorBidi"/>
            <w:kern w:val="2"/>
            <w:sz w:val="22"/>
            <w:szCs w:val="22"/>
            <w:lang w:eastAsia="en-AU"/>
            <w14:ligatures w14:val="standardContextual"/>
          </w:rPr>
          <w:tab/>
        </w:r>
        <w:r>
          <w:rPr>
            <w:rStyle w:val="Hyperlink"/>
          </w:rPr>
          <w:t>Governing law</w:t>
        </w:r>
        <w:r>
          <w:rPr>
            <w:webHidden/>
          </w:rPr>
          <w:tab/>
        </w:r>
        <w:r>
          <w:rPr>
            <w:webHidden/>
          </w:rPr>
          <w:fldChar w:fldCharType="begin"/>
        </w:r>
        <w:r>
          <w:rPr>
            <w:webHidden/>
          </w:rPr>
          <w:instrText xml:space="preserve"> PAGEREF _Toc175222493 \h </w:instrText>
        </w:r>
        <w:r>
          <w:rPr>
            <w:webHidden/>
          </w:rPr>
        </w:r>
        <w:r>
          <w:rPr>
            <w:webHidden/>
          </w:rPr>
          <w:fldChar w:fldCharType="separate"/>
        </w:r>
        <w:r w:rsidR="00E57E1B">
          <w:rPr>
            <w:webHidden/>
          </w:rPr>
          <w:t>11</w:t>
        </w:r>
        <w:r>
          <w:rPr>
            <w:webHidden/>
          </w:rPr>
          <w:fldChar w:fldCharType="end"/>
        </w:r>
      </w:hyperlink>
    </w:p>
    <w:p w14:paraId="73FD725E" w14:textId="01E09D50"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5" w:history="1">
        <w:r>
          <w:rPr>
            <w:rStyle w:val="Hyperlink"/>
          </w:rPr>
          <w:t>11.2</w:t>
        </w:r>
        <w:r>
          <w:rPr>
            <w:rFonts w:asciiTheme="minorHAnsi" w:eastAsiaTheme="minorEastAsia" w:hAnsiTheme="minorHAnsi" w:cstheme="minorBidi"/>
            <w:kern w:val="2"/>
            <w:sz w:val="22"/>
            <w:szCs w:val="22"/>
            <w:lang w:eastAsia="en-AU"/>
            <w14:ligatures w14:val="standardContextual"/>
          </w:rPr>
          <w:tab/>
        </w:r>
        <w:r>
          <w:rPr>
            <w:rStyle w:val="Hyperlink"/>
          </w:rPr>
          <w:t>Assignment, novation and other dealings – consent required</w:t>
        </w:r>
        <w:r>
          <w:rPr>
            <w:webHidden/>
          </w:rPr>
          <w:tab/>
        </w:r>
        <w:r>
          <w:rPr>
            <w:webHidden/>
          </w:rPr>
          <w:fldChar w:fldCharType="begin"/>
        </w:r>
        <w:r>
          <w:rPr>
            <w:webHidden/>
          </w:rPr>
          <w:instrText xml:space="preserve"> PAGEREF _Toc175222495 \h </w:instrText>
        </w:r>
        <w:r>
          <w:rPr>
            <w:webHidden/>
          </w:rPr>
        </w:r>
        <w:r>
          <w:rPr>
            <w:webHidden/>
          </w:rPr>
          <w:fldChar w:fldCharType="separate"/>
        </w:r>
        <w:r w:rsidR="00E57E1B">
          <w:rPr>
            <w:webHidden/>
          </w:rPr>
          <w:t>11</w:t>
        </w:r>
        <w:r>
          <w:rPr>
            <w:webHidden/>
          </w:rPr>
          <w:fldChar w:fldCharType="end"/>
        </w:r>
      </w:hyperlink>
    </w:p>
    <w:p w14:paraId="5D1969CC" w14:textId="0F5DBF36"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6" w:history="1">
        <w:r>
          <w:rPr>
            <w:rStyle w:val="Hyperlink"/>
          </w:rPr>
          <w:t>11.3</w:t>
        </w:r>
        <w:r>
          <w:rPr>
            <w:rFonts w:asciiTheme="minorHAnsi" w:eastAsiaTheme="minorEastAsia" w:hAnsiTheme="minorHAnsi" w:cstheme="minorBidi"/>
            <w:kern w:val="2"/>
            <w:sz w:val="22"/>
            <w:szCs w:val="22"/>
            <w:lang w:eastAsia="en-AU"/>
            <w14:ligatures w14:val="standardContextual"/>
          </w:rPr>
          <w:tab/>
        </w:r>
        <w:r>
          <w:rPr>
            <w:rStyle w:val="Hyperlink"/>
          </w:rPr>
          <w:t>Costs and expenses</w:t>
        </w:r>
        <w:r>
          <w:rPr>
            <w:webHidden/>
          </w:rPr>
          <w:tab/>
        </w:r>
        <w:r>
          <w:rPr>
            <w:webHidden/>
          </w:rPr>
          <w:fldChar w:fldCharType="begin"/>
        </w:r>
        <w:r>
          <w:rPr>
            <w:webHidden/>
          </w:rPr>
          <w:instrText xml:space="preserve"> PAGEREF _Toc175222496 \h </w:instrText>
        </w:r>
        <w:r>
          <w:rPr>
            <w:webHidden/>
          </w:rPr>
        </w:r>
        <w:r>
          <w:rPr>
            <w:webHidden/>
          </w:rPr>
          <w:fldChar w:fldCharType="separate"/>
        </w:r>
        <w:r w:rsidR="00E57E1B">
          <w:rPr>
            <w:webHidden/>
          </w:rPr>
          <w:t>11</w:t>
        </w:r>
        <w:r>
          <w:rPr>
            <w:webHidden/>
          </w:rPr>
          <w:fldChar w:fldCharType="end"/>
        </w:r>
      </w:hyperlink>
    </w:p>
    <w:p w14:paraId="32FC9572" w14:textId="53187574"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7" w:history="1">
        <w:r>
          <w:rPr>
            <w:rStyle w:val="Hyperlink"/>
          </w:rPr>
          <w:t>11.4</w:t>
        </w:r>
        <w:r>
          <w:rPr>
            <w:rFonts w:asciiTheme="minorHAnsi" w:eastAsiaTheme="minorEastAsia" w:hAnsiTheme="minorHAnsi" w:cstheme="minorBidi"/>
            <w:kern w:val="2"/>
            <w:sz w:val="22"/>
            <w:szCs w:val="22"/>
            <w:lang w:eastAsia="en-AU"/>
            <w14:ligatures w14:val="standardContextual"/>
          </w:rPr>
          <w:tab/>
        </w:r>
        <w:r>
          <w:rPr>
            <w:rStyle w:val="Hyperlink"/>
          </w:rPr>
          <w:t>Variation</w:t>
        </w:r>
        <w:r>
          <w:rPr>
            <w:webHidden/>
          </w:rPr>
          <w:tab/>
        </w:r>
        <w:r>
          <w:rPr>
            <w:webHidden/>
          </w:rPr>
          <w:fldChar w:fldCharType="begin"/>
        </w:r>
        <w:r>
          <w:rPr>
            <w:webHidden/>
          </w:rPr>
          <w:instrText xml:space="preserve"> PAGEREF _Toc175222497 \h </w:instrText>
        </w:r>
        <w:r>
          <w:rPr>
            <w:webHidden/>
          </w:rPr>
        </w:r>
        <w:r>
          <w:rPr>
            <w:webHidden/>
          </w:rPr>
          <w:fldChar w:fldCharType="separate"/>
        </w:r>
        <w:r w:rsidR="00E57E1B">
          <w:rPr>
            <w:webHidden/>
          </w:rPr>
          <w:t>11</w:t>
        </w:r>
        <w:r>
          <w:rPr>
            <w:webHidden/>
          </w:rPr>
          <w:fldChar w:fldCharType="end"/>
        </w:r>
      </w:hyperlink>
    </w:p>
    <w:p w14:paraId="1EFE0431" w14:textId="0B61E564"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8" w:history="1">
        <w:r>
          <w:rPr>
            <w:rStyle w:val="Hyperlink"/>
          </w:rPr>
          <w:t>11.5</w:t>
        </w:r>
        <w:r>
          <w:rPr>
            <w:rFonts w:asciiTheme="minorHAnsi" w:eastAsiaTheme="minorEastAsia" w:hAnsiTheme="minorHAnsi" w:cstheme="minorBidi"/>
            <w:kern w:val="2"/>
            <w:sz w:val="22"/>
            <w:szCs w:val="22"/>
            <w:lang w:eastAsia="en-AU"/>
            <w14:ligatures w14:val="standardContextual"/>
          </w:rPr>
          <w:tab/>
        </w:r>
        <w:r>
          <w:rPr>
            <w:rStyle w:val="Hyperlink"/>
          </w:rPr>
          <w:t>Waiver</w:t>
        </w:r>
        <w:r>
          <w:rPr>
            <w:webHidden/>
          </w:rPr>
          <w:tab/>
        </w:r>
        <w:r>
          <w:rPr>
            <w:webHidden/>
          </w:rPr>
          <w:fldChar w:fldCharType="begin"/>
        </w:r>
        <w:r>
          <w:rPr>
            <w:webHidden/>
          </w:rPr>
          <w:instrText xml:space="preserve"> PAGEREF _Toc175222498 \h </w:instrText>
        </w:r>
        <w:r>
          <w:rPr>
            <w:webHidden/>
          </w:rPr>
        </w:r>
        <w:r>
          <w:rPr>
            <w:webHidden/>
          </w:rPr>
          <w:fldChar w:fldCharType="separate"/>
        </w:r>
        <w:r w:rsidR="00E57E1B">
          <w:rPr>
            <w:webHidden/>
          </w:rPr>
          <w:t>11</w:t>
        </w:r>
        <w:r>
          <w:rPr>
            <w:webHidden/>
          </w:rPr>
          <w:fldChar w:fldCharType="end"/>
        </w:r>
      </w:hyperlink>
    </w:p>
    <w:p w14:paraId="11F3941C" w14:textId="2208062A"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499" w:history="1">
        <w:r>
          <w:rPr>
            <w:rStyle w:val="Hyperlink"/>
          </w:rPr>
          <w:t>11.6</w:t>
        </w:r>
        <w:r>
          <w:rPr>
            <w:rFonts w:asciiTheme="minorHAnsi" w:eastAsiaTheme="minorEastAsia" w:hAnsiTheme="minorHAnsi" w:cstheme="minorBidi"/>
            <w:kern w:val="2"/>
            <w:sz w:val="22"/>
            <w:szCs w:val="22"/>
            <w:lang w:eastAsia="en-AU"/>
            <w14:ligatures w14:val="standardContextual"/>
          </w:rPr>
          <w:tab/>
        </w:r>
        <w:r>
          <w:rPr>
            <w:rStyle w:val="Hyperlink"/>
          </w:rPr>
          <w:t>Further assurances</w:t>
        </w:r>
        <w:r>
          <w:rPr>
            <w:webHidden/>
          </w:rPr>
          <w:tab/>
        </w:r>
        <w:r>
          <w:rPr>
            <w:webHidden/>
          </w:rPr>
          <w:fldChar w:fldCharType="begin"/>
        </w:r>
        <w:r>
          <w:rPr>
            <w:webHidden/>
          </w:rPr>
          <w:instrText xml:space="preserve"> PAGEREF _Toc175222499 \h </w:instrText>
        </w:r>
        <w:r>
          <w:rPr>
            <w:webHidden/>
          </w:rPr>
        </w:r>
        <w:r>
          <w:rPr>
            <w:webHidden/>
          </w:rPr>
          <w:fldChar w:fldCharType="separate"/>
        </w:r>
        <w:r w:rsidR="00E57E1B">
          <w:rPr>
            <w:webHidden/>
          </w:rPr>
          <w:t>11</w:t>
        </w:r>
        <w:r>
          <w:rPr>
            <w:webHidden/>
          </w:rPr>
          <w:fldChar w:fldCharType="end"/>
        </w:r>
      </w:hyperlink>
    </w:p>
    <w:p w14:paraId="4885B483" w14:textId="63C29FD8" w:rsidR="008A0561" w:rsidRDefault="008A0561">
      <w:pPr>
        <w:pStyle w:val="TOC2"/>
        <w:tabs>
          <w:tab w:val="left" w:pos="1418"/>
        </w:tabs>
        <w:rPr>
          <w:rFonts w:asciiTheme="minorHAnsi" w:eastAsiaTheme="minorEastAsia" w:hAnsiTheme="minorHAnsi" w:cstheme="minorBidi"/>
          <w:kern w:val="2"/>
          <w:sz w:val="22"/>
          <w:szCs w:val="22"/>
          <w:lang w:eastAsia="en-AU"/>
          <w14:ligatures w14:val="standardContextual"/>
        </w:rPr>
      </w:pPr>
      <w:hyperlink w:anchor="_Toc175222500" w:history="1">
        <w:r>
          <w:rPr>
            <w:rStyle w:val="Hyperlink"/>
          </w:rPr>
          <w:t>11.7</w:t>
        </w:r>
        <w:r>
          <w:rPr>
            <w:rFonts w:asciiTheme="minorHAnsi" w:eastAsiaTheme="minorEastAsia" w:hAnsiTheme="minorHAnsi" w:cstheme="minorBidi"/>
            <w:kern w:val="2"/>
            <w:sz w:val="22"/>
            <w:szCs w:val="22"/>
            <w:lang w:eastAsia="en-AU"/>
            <w14:ligatures w14:val="standardContextual"/>
          </w:rPr>
          <w:tab/>
        </w:r>
        <w:r>
          <w:rPr>
            <w:rStyle w:val="Hyperlink"/>
          </w:rPr>
          <w:t>Execution and counterparts</w:t>
        </w:r>
        <w:r>
          <w:rPr>
            <w:webHidden/>
          </w:rPr>
          <w:tab/>
        </w:r>
        <w:r>
          <w:rPr>
            <w:webHidden/>
          </w:rPr>
          <w:fldChar w:fldCharType="begin"/>
        </w:r>
        <w:r>
          <w:rPr>
            <w:webHidden/>
          </w:rPr>
          <w:instrText xml:space="preserve"> PAGEREF _Toc175222500 \h </w:instrText>
        </w:r>
        <w:r>
          <w:rPr>
            <w:webHidden/>
          </w:rPr>
        </w:r>
        <w:r>
          <w:rPr>
            <w:webHidden/>
          </w:rPr>
          <w:fldChar w:fldCharType="separate"/>
        </w:r>
        <w:r w:rsidR="00E57E1B">
          <w:rPr>
            <w:webHidden/>
          </w:rPr>
          <w:t>12</w:t>
        </w:r>
        <w:r>
          <w:rPr>
            <w:webHidden/>
          </w:rPr>
          <w:fldChar w:fldCharType="end"/>
        </w:r>
      </w:hyperlink>
    </w:p>
    <w:p w14:paraId="4C6AE439" w14:textId="77777777" w:rsidR="008A0561" w:rsidRDefault="008A0561">
      <w:pPr>
        <w:rPr>
          <w:b/>
          <w:bCs/>
          <w:noProof/>
          <w:lang w:val="en-US"/>
        </w:rPr>
      </w:pPr>
      <w:r>
        <w:rPr>
          <w:b/>
          <w:bCs/>
          <w:noProof/>
          <w:lang w:val="en-US"/>
        </w:rPr>
        <w:fldChar w:fldCharType="end"/>
      </w:r>
    </w:p>
    <w:p w14:paraId="3BC2485B" w14:textId="77777777" w:rsidR="008A0561" w:rsidRDefault="008A0561">
      <w:pPr>
        <w:rPr>
          <w:rFonts w:ascii="Arial Bold" w:hAnsi="Arial Bold"/>
          <w:b/>
          <w:noProof/>
        </w:rPr>
      </w:pPr>
    </w:p>
    <w:p w14:paraId="275EA93F" w14:textId="77777777" w:rsidR="008A0561" w:rsidRDefault="008A0561">
      <w:pPr>
        <w:rPr>
          <w:rFonts w:cs="Arial"/>
        </w:rPr>
        <w:sectPr w:rsidR="008A0561" w:rsidSect="008A0561">
          <w:headerReference w:type="default" r:id="rId18"/>
          <w:footerReference w:type="default" r:id="rId19"/>
          <w:headerReference w:type="first" r:id="rId20"/>
          <w:footerReference w:type="first" r:id="rId21"/>
          <w:pgSz w:w="11907" w:h="16840" w:code="9"/>
          <w:pgMar w:top="1701" w:right="1134" w:bottom="1134" w:left="1418" w:header="567" w:footer="567" w:gutter="0"/>
          <w:pgNumType w:fmt="lowerRoman" w:start="1"/>
          <w:cols w:space="720"/>
          <w:docGrid w:linePitch="272"/>
        </w:sectPr>
      </w:pPr>
    </w:p>
    <w:tbl>
      <w:tblPr>
        <w:tblW w:w="9356" w:type="dxa"/>
        <w:tblLayout w:type="fixed"/>
        <w:tblCellMar>
          <w:left w:w="0" w:type="dxa"/>
          <w:right w:w="0" w:type="dxa"/>
        </w:tblCellMar>
        <w:tblLook w:val="0000" w:firstRow="0" w:lastRow="0" w:firstColumn="0" w:lastColumn="0" w:noHBand="0" w:noVBand="0"/>
      </w:tblPr>
      <w:tblGrid>
        <w:gridCol w:w="709"/>
        <w:gridCol w:w="8647"/>
      </w:tblGrid>
      <w:tr w:rsidR="008A0561" w14:paraId="206FD11F" w14:textId="77777777">
        <w:tc>
          <w:tcPr>
            <w:tcW w:w="9356" w:type="dxa"/>
            <w:gridSpan w:val="2"/>
            <w:vAlign w:val="bottom"/>
          </w:tcPr>
          <w:p w14:paraId="758F95B9" w14:textId="77777777" w:rsidR="008A0561" w:rsidRDefault="008A0561">
            <w:pPr>
              <w:tabs>
                <w:tab w:val="left" w:pos="8505"/>
              </w:tabs>
              <w:spacing w:before="160"/>
              <w:rPr>
                <w:rFonts w:cs="Arial"/>
              </w:rPr>
            </w:pPr>
            <w:r>
              <w:rPr>
                <w:b/>
              </w:rPr>
              <w:lastRenderedPageBreak/>
              <w:t>This agreement</w:t>
            </w:r>
            <w:r>
              <w:t xml:space="preserve"> is made on [</w:t>
            </w:r>
            <w:r>
              <w:rPr>
                <w:highlight w:val="yellow"/>
              </w:rPr>
              <w:t>insert date</w:t>
            </w:r>
            <w:r>
              <w:t>]</w:t>
            </w:r>
          </w:p>
        </w:tc>
      </w:tr>
      <w:tr w:rsidR="008A0561" w14:paraId="792523BE" w14:textId="77777777">
        <w:trPr>
          <w:trHeight w:val="20"/>
        </w:trPr>
        <w:tc>
          <w:tcPr>
            <w:tcW w:w="9356" w:type="dxa"/>
            <w:gridSpan w:val="2"/>
            <w:vAlign w:val="bottom"/>
          </w:tcPr>
          <w:p w14:paraId="7CB64FED" w14:textId="77777777" w:rsidR="008A0561" w:rsidRDefault="008A0561">
            <w:pPr>
              <w:spacing w:before="160"/>
              <w:rPr>
                <w:rFonts w:cs="Arial"/>
              </w:rPr>
            </w:pPr>
            <w:r>
              <w:rPr>
                <w:rFonts w:cs="Arial"/>
                <w:b/>
              </w:rPr>
              <w:t>Parties</w:t>
            </w:r>
          </w:p>
        </w:tc>
      </w:tr>
      <w:tr w:rsidR="008A0561" w14:paraId="7BF9E68C" w14:textId="77777777">
        <w:tc>
          <w:tcPr>
            <w:tcW w:w="709" w:type="dxa"/>
          </w:tcPr>
          <w:p w14:paraId="20D9188D" w14:textId="77777777" w:rsidR="008A0561" w:rsidRDefault="008A0561">
            <w:pPr>
              <w:pStyle w:val="PartyRecital"/>
              <w:numPr>
                <w:ilvl w:val="0"/>
                <w:numId w:val="6"/>
              </w:numPr>
              <w:tabs>
                <w:tab w:val="clear" w:pos="284"/>
                <w:tab w:val="num" w:pos="0"/>
              </w:tabs>
              <w:spacing w:before="180" w:after="60"/>
              <w:ind w:left="0" w:firstLine="0"/>
              <w:rPr>
                <w:rFonts w:cs="Arial"/>
              </w:rPr>
            </w:pPr>
          </w:p>
        </w:tc>
        <w:tc>
          <w:tcPr>
            <w:tcW w:w="8647" w:type="dxa"/>
          </w:tcPr>
          <w:p w14:paraId="438F9BAF" w14:textId="77777777" w:rsidR="008A0561" w:rsidRDefault="008A0561">
            <w:pPr>
              <w:pStyle w:val="PartyRecital"/>
              <w:ind w:left="0"/>
            </w:pPr>
            <w:bookmarkStart w:id="1" w:name="z_LX009_1"/>
            <w:r>
              <w:rPr>
                <w:rFonts w:ascii="Arial Bold" w:hAnsi="Arial Bold"/>
                <w:b/>
              </w:rPr>
              <w:t>[</w:t>
            </w:r>
            <w:r>
              <w:rPr>
                <w:rFonts w:ascii="Arial Bold" w:hAnsi="Arial Bold"/>
                <w:b/>
                <w:highlight w:val="yellow"/>
              </w:rPr>
              <w:t xml:space="preserve">Insert name of </w:t>
            </w:r>
            <w:bookmarkEnd w:id="1"/>
            <w:r>
              <w:rPr>
                <w:rFonts w:ascii="Arial Bold" w:hAnsi="Arial Bold"/>
                <w:b/>
                <w:highlight w:val="yellow"/>
              </w:rPr>
              <w:t>the company</w:t>
            </w:r>
            <w:r>
              <w:rPr>
                <w:rFonts w:ascii="Arial Bold" w:hAnsi="Arial Bold"/>
                <w:b/>
              </w:rPr>
              <w:t>]</w:t>
            </w:r>
            <w:r>
              <w:t xml:space="preserve"> </w:t>
            </w:r>
            <w:r>
              <w:rPr>
                <w:highlight w:val="yellow"/>
              </w:rPr>
              <w:t xml:space="preserve">([ACN/ABN] [#]) </w:t>
            </w:r>
            <w:r>
              <w:t xml:space="preserve">(the </w:t>
            </w:r>
            <w:r>
              <w:rPr>
                <w:b/>
                <w:i/>
              </w:rPr>
              <w:t>Company</w:t>
            </w:r>
            <w:r>
              <w:t>)</w:t>
            </w:r>
          </w:p>
          <w:p w14:paraId="775466D5" w14:textId="77777777" w:rsidR="008A0561" w:rsidRDefault="008A0561">
            <w:pPr>
              <w:pStyle w:val="PartyRecital"/>
              <w:ind w:left="0"/>
            </w:pPr>
            <w:r>
              <w:t>For notices:</w:t>
            </w:r>
            <w:r>
              <w:br/>
              <w:t>Address: [</w:t>
            </w:r>
            <w:r>
              <w:rPr>
                <w:highlight w:val="yellow"/>
              </w:rPr>
              <w:t>insert address</w:t>
            </w:r>
            <w:r>
              <w:t xml:space="preserve">] </w:t>
            </w:r>
            <w:r>
              <w:br/>
              <w:t>Email: [</w:t>
            </w:r>
            <w:r>
              <w:rPr>
                <w:highlight w:val="yellow"/>
              </w:rPr>
              <w:t>insert address</w:t>
            </w:r>
            <w:r>
              <w:t xml:space="preserve">] </w:t>
            </w:r>
          </w:p>
        </w:tc>
      </w:tr>
      <w:tr w:rsidR="008A0561" w14:paraId="3DF10EB6" w14:textId="77777777">
        <w:tc>
          <w:tcPr>
            <w:tcW w:w="709" w:type="dxa"/>
          </w:tcPr>
          <w:p w14:paraId="3D0E7BBA" w14:textId="77777777" w:rsidR="008A0561" w:rsidRDefault="008A0561">
            <w:pPr>
              <w:pStyle w:val="PartyRecital"/>
              <w:numPr>
                <w:ilvl w:val="0"/>
                <w:numId w:val="6"/>
              </w:numPr>
              <w:tabs>
                <w:tab w:val="clear" w:pos="284"/>
                <w:tab w:val="num" w:pos="0"/>
              </w:tabs>
              <w:spacing w:before="180" w:after="60"/>
              <w:ind w:left="0" w:firstLine="0"/>
              <w:rPr>
                <w:rFonts w:cs="Arial"/>
              </w:rPr>
            </w:pPr>
          </w:p>
        </w:tc>
        <w:tc>
          <w:tcPr>
            <w:tcW w:w="8647" w:type="dxa"/>
          </w:tcPr>
          <w:p w14:paraId="6FAD5394" w14:textId="77777777" w:rsidR="008A0561" w:rsidRDefault="008A0561">
            <w:pPr>
              <w:pStyle w:val="PartyRecital"/>
              <w:ind w:left="0"/>
            </w:pPr>
            <w:r>
              <w:rPr>
                <w:rFonts w:ascii="Arial Bold" w:hAnsi="Arial Bold"/>
                <w:b/>
              </w:rPr>
              <w:t>[</w:t>
            </w:r>
            <w:r>
              <w:rPr>
                <w:rFonts w:ascii="Arial Bold" w:hAnsi="Arial Bold"/>
                <w:b/>
                <w:highlight w:val="yellow"/>
              </w:rPr>
              <w:t>Insert name of the investor</w:t>
            </w:r>
            <w:r>
              <w:rPr>
                <w:rFonts w:ascii="Arial Bold" w:hAnsi="Arial Bold"/>
                <w:b/>
              </w:rPr>
              <w:t>]</w:t>
            </w:r>
            <w:r>
              <w:t xml:space="preserve"> [</w:t>
            </w:r>
            <w:r>
              <w:rPr>
                <w:highlight w:val="yellow"/>
              </w:rPr>
              <w:t>([ACN/ABN] [#])]</w:t>
            </w:r>
            <w:r>
              <w:t xml:space="preserve"> (the </w:t>
            </w:r>
            <w:r>
              <w:rPr>
                <w:b/>
                <w:i/>
              </w:rPr>
              <w:t>Investor</w:t>
            </w:r>
            <w:r>
              <w:t>)</w:t>
            </w:r>
          </w:p>
          <w:p w14:paraId="676C39C4" w14:textId="77777777" w:rsidR="008A0561" w:rsidRDefault="008A0561">
            <w:pPr>
              <w:pStyle w:val="PartyRecital"/>
              <w:ind w:left="0"/>
            </w:pPr>
            <w:r>
              <w:t>For notices:</w:t>
            </w:r>
            <w:r>
              <w:br/>
              <w:t>Address: [</w:t>
            </w:r>
            <w:r>
              <w:rPr>
                <w:highlight w:val="yellow"/>
              </w:rPr>
              <w:t>insert address</w:t>
            </w:r>
            <w:r>
              <w:t xml:space="preserve">] </w:t>
            </w:r>
            <w:r>
              <w:br/>
              <w:t>Email: [</w:t>
            </w:r>
            <w:r>
              <w:rPr>
                <w:highlight w:val="yellow"/>
              </w:rPr>
              <w:t>insert address</w:t>
            </w:r>
            <w:r>
              <w:t xml:space="preserve">] </w:t>
            </w:r>
          </w:p>
        </w:tc>
      </w:tr>
      <w:tr w:rsidR="008A0561" w14:paraId="1AE41239" w14:textId="77777777">
        <w:tc>
          <w:tcPr>
            <w:tcW w:w="9356" w:type="dxa"/>
            <w:gridSpan w:val="2"/>
            <w:vAlign w:val="bottom"/>
          </w:tcPr>
          <w:p w14:paraId="63CE3548" w14:textId="77777777" w:rsidR="008A0561" w:rsidRDefault="008A0561">
            <w:pPr>
              <w:spacing w:before="160"/>
              <w:rPr>
                <w:rFonts w:cs="Arial"/>
                <w:b/>
              </w:rPr>
            </w:pPr>
            <w:r>
              <w:rPr>
                <w:rFonts w:cs="Arial"/>
                <w:b/>
              </w:rPr>
              <w:t>Recitals</w:t>
            </w:r>
          </w:p>
          <w:p w14:paraId="78DEEAD6" w14:textId="77777777" w:rsidR="008A0561" w:rsidRDefault="008A0561">
            <w:pPr>
              <w:spacing w:before="160"/>
              <w:rPr>
                <w:rFonts w:cs="Arial"/>
                <w:b/>
              </w:rPr>
            </w:pPr>
            <w:r>
              <w:rPr>
                <w:noProof/>
                <w:lang w:eastAsia="en-AU"/>
              </w:rPr>
              <mc:AlternateContent>
                <mc:Choice Requires="wps">
                  <w:drawing>
                    <wp:inline distT="0" distB="0" distL="0" distR="0" wp14:anchorId="441C40AE" wp14:editId="0AEA251C">
                      <wp:extent cx="5924550" cy="681487"/>
                      <wp:effectExtent l="0" t="0" r="0" b="444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24550" cy="681487"/>
                              </a:xfrm>
                              <a:prstGeom prst="rect">
                                <a:avLst/>
                              </a:prstGeom>
                              <a:solidFill>
                                <a:srgbClr val="DAE0E4"/>
                              </a:solidFill>
                              <a:ln w="6350">
                                <a:noFill/>
                              </a:ln>
                              <a:effectLst/>
                            </wps:spPr>
                            <wps:txbx>
                              <w:txbxContent>
                                <w:p w14:paraId="518EBE17" w14:textId="77777777" w:rsidR="008A0561" w:rsidRPr="004E5DD7" w:rsidRDefault="008A0561">
                                  <w:pPr>
                                    <w:rPr>
                                      <w:b/>
                                      <w:color w:val="0074BF"/>
                                    </w:rPr>
                                  </w:pPr>
                                  <w:r w:rsidRPr="004E5DD7">
                                    <w:rPr>
                                      <w:b/>
                                      <w:color w:val="0074BF"/>
                                    </w:rPr>
                                    <w:t>Guidance note</w:t>
                                  </w:r>
                                </w:p>
                                <w:p w14:paraId="6C1F54E4" w14:textId="77777777" w:rsidR="008A0561" w:rsidRDefault="008A0561">
                                  <w:pPr>
                                    <w:rPr>
                                      <w:color w:val="000000"/>
                                    </w:rPr>
                                  </w:pPr>
                                  <w:r>
                                    <w:rPr>
                                      <w:color w:val="000000"/>
                                    </w:rPr>
                                    <w:t>These recitals should be tailored to reflect the Company's commercial background.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441C40AE" id="Text Box 2" o:spid="_x0000_s1027" type="#_x0000_t202" style="width:466.5pt;height:5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" fillcolor="#dae0e4" stroked="f" strokeweight=".5pt">
                      <v:textbox inset=",0">
                        <w:txbxContent>
                          <w:p w14:paraId="518EBE17" w14:textId="77777777" w:rsidR="008A0561" w:rsidRPr="004E5DD7" w:rsidRDefault="008A0561">
                            <w:pPr>
                              <w:rPr>
                                <w:b/>
                                <w:color w:val="0074BF"/>
                              </w:rPr>
                            </w:pPr>
                            <w:r w:rsidRPr="004E5DD7">
                              <w:rPr>
                                <w:b/>
                                <w:color w:val="0074BF"/>
                              </w:rPr>
                              <w:t>Guidance note</w:t>
                            </w:r>
                          </w:p>
                          <w:p w14:paraId="6C1F54E4" w14:textId="77777777" w:rsidR="008A0561" w:rsidRDefault="008A0561">
                            <w:pPr>
                              <w:rPr>
                                <w:color w:val="000000"/>
                              </w:rPr>
                            </w:pPr>
                            <w:r>
                              <w:rPr>
                                <w:color w:val="000000"/>
                              </w:rPr>
                              <w:t>These recitals should be tailored to reflect the Company's commercial background.</w:t>
                            </w:r>
                          </w:p>
                        </w:txbxContent>
                      </v:textbox>
                      <w10:anchorlock/>
                    </v:shape>
                  </w:pict>
                </mc:Fallback>
              </mc:AlternateContent>
            </w:r>
          </w:p>
        </w:tc>
      </w:tr>
      <w:tr w:rsidR="008A0561" w14:paraId="08D17AAB" w14:textId="77777777">
        <w:trPr>
          <w:trHeight w:val="402"/>
        </w:trPr>
        <w:tc>
          <w:tcPr>
            <w:tcW w:w="709" w:type="dxa"/>
          </w:tcPr>
          <w:p w14:paraId="3A9BDF90" w14:textId="77777777" w:rsidR="008A0561" w:rsidRDefault="008A0561">
            <w:pPr>
              <w:pStyle w:val="ListParagraph"/>
              <w:numPr>
                <w:ilvl w:val="0"/>
                <w:numId w:val="7"/>
              </w:numPr>
              <w:spacing w:before="160"/>
              <w:ind w:left="0" w:firstLine="0"/>
              <w:rPr>
                <w:rFonts w:cs="Arial"/>
              </w:rPr>
            </w:pPr>
          </w:p>
        </w:tc>
        <w:tc>
          <w:tcPr>
            <w:tcW w:w="8647" w:type="dxa"/>
          </w:tcPr>
          <w:p w14:paraId="08DC5C66" w14:textId="77777777" w:rsidR="008A0561" w:rsidRDefault="008A0561">
            <w:pPr>
              <w:spacing w:before="160"/>
              <w:rPr>
                <w:rFonts w:cs="Arial"/>
              </w:rPr>
            </w:pPr>
            <w:r>
              <w:t>[</w:t>
            </w:r>
            <w:r>
              <w:rPr>
                <w:highlight w:val="yellow"/>
              </w:rPr>
              <w:t>The Company is in the business of [*].</w:t>
            </w:r>
            <w:r>
              <w:t>]</w:t>
            </w:r>
          </w:p>
        </w:tc>
      </w:tr>
      <w:tr w:rsidR="008A0561" w14:paraId="422A5753" w14:textId="77777777">
        <w:trPr>
          <w:trHeight w:val="402"/>
        </w:trPr>
        <w:tc>
          <w:tcPr>
            <w:tcW w:w="709" w:type="dxa"/>
          </w:tcPr>
          <w:p w14:paraId="675B9BC7" w14:textId="77777777" w:rsidR="008A0561" w:rsidRDefault="008A0561">
            <w:pPr>
              <w:pStyle w:val="ListParagraph"/>
              <w:numPr>
                <w:ilvl w:val="0"/>
                <w:numId w:val="7"/>
              </w:numPr>
              <w:spacing w:before="160"/>
              <w:ind w:left="0" w:firstLine="0"/>
              <w:rPr>
                <w:rFonts w:cs="Arial"/>
              </w:rPr>
            </w:pPr>
          </w:p>
        </w:tc>
        <w:tc>
          <w:tcPr>
            <w:tcW w:w="8647" w:type="dxa"/>
          </w:tcPr>
          <w:p w14:paraId="40742132" w14:textId="77777777" w:rsidR="008A0561" w:rsidRDefault="008A0561">
            <w:pPr>
              <w:spacing w:before="160"/>
            </w:pPr>
            <w:r>
              <w:t>The Investor wishes to purchase the right to receive future equity in the Company.</w:t>
            </w:r>
          </w:p>
        </w:tc>
      </w:tr>
    </w:tbl>
    <w:p w14:paraId="6D64F506" w14:textId="77777777" w:rsidR="008A0561" w:rsidRDefault="008A0561">
      <w:pPr>
        <w:spacing w:before="240"/>
        <w:rPr>
          <w:rFonts w:cs="Arial"/>
        </w:rPr>
      </w:pPr>
      <w:r>
        <w:rPr>
          <w:rFonts w:cs="Arial"/>
          <w:b/>
          <w:sz w:val="22"/>
          <w:szCs w:val="22"/>
        </w:rPr>
        <w:t>It is agreed</w:t>
      </w:r>
      <w:r>
        <w:rPr>
          <w:rFonts w:cs="Arial"/>
        </w:rPr>
        <w:t xml:space="preserve"> as follows.</w:t>
      </w:r>
    </w:p>
    <w:p w14:paraId="5518DA45" w14:textId="77777777" w:rsidR="008A0561" w:rsidRDefault="008A0561">
      <w:pPr>
        <w:pStyle w:val="AllensHeading1"/>
      </w:pPr>
      <w:bookmarkStart w:id="2" w:name="txtTitle"/>
      <w:bookmarkStart w:id="3" w:name="Body"/>
      <w:bookmarkStart w:id="4" w:name="_Toc175222476"/>
      <w:bookmarkStart w:id="5" w:name="_Ref479611261"/>
      <w:bookmarkEnd w:id="2"/>
      <w:bookmarkEnd w:id="3"/>
      <w:r>
        <w:t>Definitions and interpretation</w:t>
      </w:r>
      <w:bookmarkEnd w:id="4"/>
    </w:p>
    <w:p w14:paraId="357A62E8" w14:textId="77777777" w:rsidR="008A0561" w:rsidRDefault="008A0561">
      <w:pPr>
        <w:pStyle w:val="AllensHeading2"/>
      </w:pPr>
      <w:bookmarkStart w:id="6" w:name="_Toc175222477"/>
      <w:r>
        <w:t>Definitions</w:t>
      </w:r>
      <w:bookmarkEnd w:id="6"/>
    </w:p>
    <w:p w14:paraId="33312FF4" w14:textId="77777777" w:rsidR="008A0561" w:rsidRDefault="008A0561">
      <w:pPr>
        <w:pStyle w:val="NormalIndent"/>
      </w:pPr>
      <w:r>
        <w:t>The following definitions apply unless the context requires otherwise:</w:t>
      </w:r>
    </w:p>
    <w:p w14:paraId="01097D09" w14:textId="77777777" w:rsidR="008A0561" w:rsidRDefault="008A0561">
      <w:pPr>
        <w:ind w:left="709"/>
      </w:pPr>
      <w:r>
        <w:rPr>
          <w:b/>
          <w:i/>
          <w:iCs/>
        </w:rPr>
        <w:t>Business Day</w:t>
      </w:r>
      <w:r>
        <w:t xml:space="preserve"> means a day that is not a Saturday, Sunday, bank holiday or public holiday in [</w:t>
      </w:r>
      <w:r>
        <w:rPr>
          <w:highlight w:val="yellow"/>
        </w:rPr>
        <w:t xml:space="preserve">insert capital city of state in which the Company is registered, </w:t>
      </w:r>
      <w:proofErr w:type="spellStart"/>
      <w:r>
        <w:rPr>
          <w:highlight w:val="yellow"/>
        </w:rPr>
        <w:t>eg</w:t>
      </w:r>
      <w:proofErr w:type="spellEnd"/>
      <w:r>
        <w:rPr>
          <w:highlight w:val="yellow"/>
        </w:rPr>
        <w:t>, Sydney</w:t>
      </w:r>
      <w:r>
        <w:rPr>
          <w:lang w:val="en-GB"/>
        </w:rPr>
        <w:t>]</w:t>
      </w:r>
      <w:r>
        <w:t>, Australia.</w:t>
      </w:r>
    </w:p>
    <w:p w14:paraId="640E6A21" w14:textId="77777777" w:rsidR="008A0561" w:rsidRDefault="008A0561">
      <w:pPr>
        <w:ind w:left="709"/>
      </w:pPr>
      <w:r>
        <w:rPr>
          <w:b/>
          <w:i/>
          <w:iCs/>
        </w:rPr>
        <w:t>Company</w:t>
      </w:r>
      <w:r>
        <w:t xml:space="preserve"> has the meaning given to it in the "Parties" section of this agreement.</w:t>
      </w:r>
    </w:p>
    <w:p w14:paraId="180A661C" w14:textId="77777777" w:rsidR="008A0561" w:rsidRDefault="008A0561">
      <w:pPr>
        <w:ind w:left="709"/>
      </w:pPr>
      <w:r>
        <w:rPr>
          <w:b/>
          <w:i/>
          <w:iCs/>
        </w:rPr>
        <w:t>Corporations Act</w:t>
      </w:r>
      <w:r>
        <w:t xml:space="preserve"> means the </w:t>
      </w:r>
      <w:r>
        <w:rPr>
          <w:i/>
          <w:iCs/>
        </w:rPr>
        <w:t>Corporations Act 2001</w:t>
      </w:r>
      <w:r>
        <w:t xml:space="preserve"> (</w:t>
      </w:r>
      <w:proofErr w:type="spellStart"/>
      <w:r>
        <w:t>Cth</w:t>
      </w:r>
      <w:proofErr w:type="spellEnd"/>
      <w:r>
        <w:t>).</w:t>
      </w:r>
    </w:p>
    <w:p w14:paraId="61FBF140" w14:textId="77777777" w:rsidR="008A0561" w:rsidRDefault="008A0561">
      <w:pPr>
        <w:ind w:left="709"/>
      </w:pPr>
      <w:r>
        <w:rPr>
          <w:noProof/>
          <w:lang w:eastAsia="en-AU"/>
        </w:rPr>
        <mc:AlternateContent>
          <mc:Choice Requires="wps">
            <w:drawing>
              <wp:inline distT="0" distB="0" distL="0" distR="0" wp14:anchorId="539E6B1A" wp14:editId="7F7FACAB">
                <wp:extent cx="5380893" cy="2168769"/>
                <wp:effectExtent l="0" t="0" r="0" b="3175"/>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2168769"/>
                        </a:xfrm>
                        <a:prstGeom prst="rect">
                          <a:avLst/>
                        </a:prstGeom>
                        <a:solidFill>
                          <a:srgbClr val="DAE0E4"/>
                        </a:solidFill>
                        <a:ln w="6350">
                          <a:noFill/>
                        </a:ln>
                        <a:effectLst/>
                      </wps:spPr>
                      <wps:txbx>
                        <w:txbxContent>
                          <w:p w14:paraId="294FE459" w14:textId="77777777" w:rsidR="008A0561" w:rsidRPr="004E5DD7" w:rsidRDefault="008A0561">
                            <w:pPr>
                              <w:rPr>
                                <w:b/>
                                <w:color w:val="0074BF"/>
                              </w:rPr>
                            </w:pPr>
                            <w:r w:rsidRPr="004E5DD7">
                              <w:rPr>
                                <w:b/>
                                <w:color w:val="0074BF"/>
                              </w:rPr>
                              <w:t>Guidance note</w:t>
                            </w:r>
                          </w:p>
                          <w:p w14:paraId="78F7ED9D" w14:textId="77777777" w:rsidR="008A0561" w:rsidRDefault="008A0561">
                            <w:pPr>
                              <w:rPr>
                                <w:color w:val="000000"/>
                              </w:rPr>
                            </w:pPr>
                            <w:r>
                              <w:rPr>
                                <w:color w:val="000000"/>
                              </w:rPr>
                              <w:t>This SAFE gives the Investor a discount to the share price on conversion of their SAFE. Including a discount is very common as it rewards the Investor for investing in the business early (before the Company can raise a priced equity round) and taking on the associated risk. In addition to a discount, some investors may require that the SAFE include a valuation cap. Please see the guidance note at the definition of Valuation Cap for more information.</w:t>
                            </w:r>
                          </w:p>
                          <w:p w14:paraId="5A63A495" w14:textId="77777777" w:rsidR="008A0561" w:rsidRDefault="008A0561">
                            <w:pPr>
                              <w:rPr>
                                <w:color w:val="000000"/>
                              </w:rPr>
                            </w:pPr>
                            <w:r>
                              <w:rPr>
                                <w:color w:val="000000"/>
                              </w:rPr>
                              <w:t xml:space="preserve">Most commonly, discount rates are in the range of 10% to 30%. Generally, the closer a Company is to raising an equity round (or, for that matter, undertaking an exit event), the lower the discount rate (as the SAFE investment is less risky when a conversion event is imminent).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39E6B1A" id="Text Box 5" o:spid="_x0000_s1028" type="#_x0000_t202" style="width:423.7pt;height:1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" fillcolor="#dae0e4" stroked="f" strokeweight=".5pt">
                <v:textbox inset=",0">
                  <w:txbxContent>
                    <w:p w14:paraId="294FE459" w14:textId="77777777" w:rsidR="008A0561" w:rsidRPr="004E5DD7" w:rsidRDefault="008A0561">
                      <w:pPr>
                        <w:rPr>
                          <w:b/>
                          <w:color w:val="0074BF"/>
                        </w:rPr>
                      </w:pPr>
                      <w:r w:rsidRPr="004E5DD7">
                        <w:rPr>
                          <w:b/>
                          <w:color w:val="0074BF"/>
                        </w:rPr>
                        <w:t>Guidance note</w:t>
                      </w:r>
                    </w:p>
                    <w:p w14:paraId="78F7ED9D" w14:textId="77777777" w:rsidR="008A0561" w:rsidRDefault="008A0561">
                      <w:pPr>
                        <w:rPr>
                          <w:color w:val="000000"/>
                        </w:rPr>
                      </w:pPr>
                      <w:r>
                        <w:rPr>
                          <w:color w:val="000000"/>
                        </w:rPr>
                        <w:t>This SAFE gives the Investor a discount to the share price on conversion of their SAFE. Including a discount is very common as it rewards the Investor for investing in the business early (before the Company can raise a priced equity round) and taking on the associated risk. In addition to a discount, some investors may require that the SAFE include a valuation cap. Please see the guidance note at the definition of Valuation Cap for more information.</w:t>
                      </w:r>
                    </w:p>
                    <w:p w14:paraId="5A63A495" w14:textId="77777777" w:rsidR="008A0561" w:rsidRDefault="008A0561">
                      <w:pPr>
                        <w:rPr>
                          <w:color w:val="000000"/>
                        </w:rPr>
                      </w:pPr>
                      <w:r>
                        <w:rPr>
                          <w:color w:val="000000"/>
                        </w:rPr>
                        <w:t xml:space="preserve">Most commonly, discount rates are in the range of 10% to 30%. Generally, the closer a Company is to raising an equity round (or, for that matter, undertaking an exit event), the lower the discount rate (as the SAFE investment is less risky when a conversion event is imminent). </w:t>
                      </w:r>
                    </w:p>
                  </w:txbxContent>
                </v:textbox>
                <w10:anchorlock/>
              </v:shape>
            </w:pict>
          </mc:Fallback>
        </mc:AlternateContent>
      </w:r>
    </w:p>
    <w:p w14:paraId="1962FD1E" w14:textId="77777777" w:rsidR="008A0561" w:rsidRDefault="008A0561">
      <w:pPr>
        <w:ind w:left="709"/>
      </w:pPr>
      <w:r>
        <w:rPr>
          <w:b/>
          <w:i/>
          <w:iCs/>
        </w:rPr>
        <w:t>Discount Rate</w:t>
      </w:r>
      <w:r>
        <w:t xml:space="preserve"> means [</w:t>
      </w:r>
      <w:r>
        <w:rPr>
          <w:highlight w:val="yellow"/>
        </w:rPr>
        <w:t>*</w:t>
      </w:r>
      <w:r>
        <w:t>]%.</w:t>
      </w:r>
    </w:p>
    <w:p w14:paraId="05952BB6" w14:textId="77777777" w:rsidR="008A0561" w:rsidRDefault="008A0561">
      <w:pPr>
        <w:ind w:left="709"/>
      </w:pPr>
      <w:r>
        <w:rPr>
          <w:noProof/>
          <w:lang w:eastAsia="en-AU"/>
        </w:rPr>
        <w:lastRenderedPageBreak/>
        <mc:AlternateContent>
          <mc:Choice Requires="wps">
            <w:drawing>
              <wp:inline distT="0" distB="0" distL="0" distR="0" wp14:anchorId="60100F5C" wp14:editId="632A2458">
                <wp:extent cx="5380893" cy="1222131"/>
                <wp:effectExtent l="0" t="0" r="0" b="0"/>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1222131"/>
                        </a:xfrm>
                        <a:prstGeom prst="rect">
                          <a:avLst/>
                        </a:prstGeom>
                        <a:solidFill>
                          <a:srgbClr val="DAE0E4"/>
                        </a:solidFill>
                        <a:ln w="6350">
                          <a:noFill/>
                        </a:ln>
                        <a:effectLst/>
                      </wps:spPr>
                      <wps:txbx>
                        <w:txbxContent>
                          <w:p w14:paraId="15D4434D" w14:textId="77777777" w:rsidR="008A0561" w:rsidRPr="004E5DD7" w:rsidRDefault="008A0561">
                            <w:pPr>
                              <w:rPr>
                                <w:b/>
                                <w:color w:val="0074BF"/>
                              </w:rPr>
                            </w:pPr>
                            <w:r w:rsidRPr="004E5DD7">
                              <w:rPr>
                                <w:b/>
                                <w:color w:val="0074BF"/>
                              </w:rPr>
                              <w:t>Guidance note</w:t>
                            </w:r>
                          </w:p>
                          <w:p w14:paraId="0B269A72" w14:textId="77777777" w:rsidR="008A0561" w:rsidRDefault="008A0561">
                            <w:pPr>
                              <w:rPr>
                                <w:color w:val="000000"/>
                              </w:rPr>
                            </w:pPr>
                            <w:r>
                              <w:rPr>
                                <w:color w:val="000000"/>
                              </w:rPr>
                              <w:t xml:space="preserve">The SAFE will convert into shares at an 'Eligible Financing'. You may wish to insert a requirement that the Company raise a certain amount in order for the financing to be considered an 'Eligible Financing'. If the Company raises less than this, the SAFE would not convert and would remain on foot.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0100F5C" id="Text Box 7" o:spid="_x0000_s1029" type="#_x0000_t202" style="width:423.7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" fillcolor="#dae0e4" stroked="f" strokeweight=".5pt">
                <v:textbox inset=",0">
                  <w:txbxContent>
                    <w:p w14:paraId="15D4434D" w14:textId="77777777" w:rsidR="008A0561" w:rsidRPr="004E5DD7" w:rsidRDefault="008A0561">
                      <w:pPr>
                        <w:rPr>
                          <w:b/>
                          <w:color w:val="0074BF"/>
                        </w:rPr>
                      </w:pPr>
                      <w:r w:rsidRPr="004E5DD7">
                        <w:rPr>
                          <w:b/>
                          <w:color w:val="0074BF"/>
                        </w:rPr>
                        <w:t>Guidance note</w:t>
                      </w:r>
                    </w:p>
                    <w:p w14:paraId="0B269A72" w14:textId="77777777" w:rsidR="008A0561" w:rsidRDefault="008A0561">
                      <w:pPr>
                        <w:rPr>
                          <w:color w:val="000000"/>
                        </w:rPr>
                      </w:pPr>
                      <w:r>
                        <w:rPr>
                          <w:color w:val="000000"/>
                        </w:rPr>
                        <w:t xml:space="preserve">The SAFE will convert into shares at an 'Eligible Financing'. You may wish to insert a requirement that the Company raise a certain amount in order for the financing to be considered an 'Eligible Financing'. If the Company raises less than this, the SAFE would not convert and would remain on foot. </w:t>
                      </w:r>
                    </w:p>
                  </w:txbxContent>
                </v:textbox>
                <w10:anchorlock/>
              </v:shape>
            </w:pict>
          </mc:Fallback>
        </mc:AlternateContent>
      </w:r>
    </w:p>
    <w:p w14:paraId="46BAA75B" w14:textId="77777777" w:rsidR="008A0561" w:rsidRDefault="008A0561">
      <w:pPr>
        <w:ind w:left="709"/>
      </w:pPr>
      <w:r>
        <w:rPr>
          <w:b/>
          <w:i/>
          <w:iCs/>
        </w:rPr>
        <w:t>Eligible Financing</w:t>
      </w:r>
      <w:r>
        <w:t xml:space="preserve"> means a bona fide transaction or series of transactions with the principal purpose of raising capital, pursuant to which the Company issues and allots Shares [</w:t>
      </w:r>
      <w:r>
        <w:rPr>
          <w:highlight w:val="yellow"/>
        </w:rPr>
        <w:t>with aggregate funds raised of not less than $[*]</w:t>
      </w:r>
      <w:r>
        <w:t xml:space="preserve">] (but for the avoidance of doubt does not include Excluded Issues). </w:t>
      </w:r>
    </w:p>
    <w:p w14:paraId="01B3176B" w14:textId="77777777" w:rsidR="008A0561" w:rsidRDefault="008A0561">
      <w:pPr>
        <w:keepNext/>
        <w:ind w:left="709"/>
      </w:pPr>
      <w:r>
        <w:rPr>
          <w:b/>
          <w:i/>
          <w:iCs/>
        </w:rPr>
        <w:t>Excluded Issues</w:t>
      </w:r>
      <w:r>
        <w:t xml:space="preserve"> means the following issues of Shares after the date of this agreement:</w:t>
      </w:r>
    </w:p>
    <w:p w14:paraId="4E9610AD" w14:textId="77777777" w:rsidR="008A0561" w:rsidRDefault="008A0561">
      <w:pPr>
        <w:pStyle w:val="AllensHeading3"/>
        <w:numPr>
          <w:ilvl w:val="2"/>
          <w:numId w:val="50"/>
        </w:numPr>
      </w:pPr>
      <w:r>
        <w:rPr>
          <w:color w:val="000000"/>
        </w:rPr>
        <w:t>Shares issued pursuant to any equity incentive or similar plan adopted by the Company;</w:t>
      </w:r>
    </w:p>
    <w:p w14:paraId="6E0AAE84" w14:textId="77777777" w:rsidR="008A0561" w:rsidRDefault="008A0561">
      <w:pPr>
        <w:pStyle w:val="AllensHeading3"/>
      </w:pPr>
      <w:r>
        <w:rPr>
          <w:color w:val="000000"/>
        </w:rPr>
        <w:t>Shares issued to:</w:t>
      </w:r>
    </w:p>
    <w:p w14:paraId="2AD5DD7D" w14:textId="77777777" w:rsidR="008A0561" w:rsidRDefault="008A0561">
      <w:pPr>
        <w:pStyle w:val="AllensHeading4"/>
        <w:rPr>
          <w:sz w:val="18"/>
        </w:rPr>
      </w:pPr>
      <w:r>
        <w:t>financial institutions, equipment lessors or other persons engaged in the business of making loans pursuant to a debt financing or commercial leasing arrangements; or</w:t>
      </w:r>
    </w:p>
    <w:p w14:paraId="699ECEA9" w14:textId="77777777" w:rsidR="008A0561" w:rsidRDefault="008A0561">
      <w:pPr>
        <w:pStyle w:val="AllensHeading4"/>
        <w:rPr>
          <w:sz w:val="18"/>
        </w:rPr>
      </w:pPr>
      <w:r>
        <w:t>suppliers or third party service providers in connection with the provision of goods or services pursuant to transactions;</w:t>
      </w:r>
    </w:p>
    <w:p w14:paraId="0C6B29D3" w14:textId="77777777" w:rsidR="008A0561" w:rsidRDefault="008A0561">
      <w:pPr>
        <w:pStyle w:val="AllensHeading3"/>
      </w:pPr>
      <w:r>
        <w:rPr>
          <w:color w:val="000000"/>
        </w:rPr>
        <w:t>Shares issued in connection with research, collaboration, technology licence, development or other similar agreements or strategic partnerships; and</w:t>
      </w:r>
    </w:p>
    <w:p w14:paraId="063043DF" w14:textId="77777777" w:rsidR="008A0561" w:rsidRDefault="008A0561">
      <w:pPr>
        <w:pStyle w:val="AllensHeading3"/>
      </w:pPr>
      <w:r>
        <w:rPr>
          <w:color w:val="000000"/>
        </w:rPr>
        <w:t>any Shares issued as consideration for an asset acquisition by the Company or pursuant to a 'merger' by the Company with another entity.</w:t>
      </w:r>
    </w:p>
    <w:p w14:paraId="04A868AE" w14:textId="77777777" w:rsidR="008A0561" w:rsidRDefault="008A0561">
      <w:pPr>
        <w:keepNext/>
        <w:ind w:left="709"/>
      </w:pPr>
      <w:r>
        <w:rPr>
          <w:b/>
          <w:i/>
          <w:iCs/>
        </w:rPr>
        <w:t>Exit Event</w:t>
      </w:r>
      <w:r>
        <w:t xml:space="preserve"> means:</w:t>
      </w:r>
    </w:p>
    <w:p w14:paraId="4BC48432" w14:textId="77777777" w:rsidR="008A0561" w:rsidRDefault="008A0561">
      <w:pPr>
        <w:pStyle w:val="AllensHeading3"/>
        <w:numPr>
          <w:ilvl w:val="2"/>
          <w:numId w:val="53"/>
        </w:numPr>
      </w:pPr>
      <w:r>
        <w:rPr>
          <w:color w:val="000000"/>
        </w:rPr>
        <w:t>the allotment or transfer of shares under a prospectus lodged with the relevant regulatory body in relation to an initial public offering of the Company's securities on an internationally recognised stock exchange;</w:t>
      </w:r>
    </w:p>
    <w:p w14:paraId="4D1059B7" w14:textId="77777777" w:rsidR="008A0561" w:rsidRPr="00A57F80" w:rsidRDefault="008A0561">
      <w:pPr>
        <w:pStyle w:val="AllensHeading3"/>
      </w:pPr>
      <w:r>
        <w:rPr>
          <w:color w:val="000000"/>
        </w:rPr>
        <w:t>the completion of a sale of all or substantially all of the issued shares of the Company to a third party in a bona fide transaction or series of transactions;</w:t>
      </w:r>
    </w:p>
    <w:p w14:paraId="074E9C5F" w14:textId="77777777" w:rsidR="008A0561" w:rsidRPr="00A57F80" w:rsidRDefault="008A0561">
      <w:pPr>
        <w:pStyle w:val="AllensHeading3"/>
      </w:pPr>
      <w:r>
        <w:rPr>
          <w:color w:val="000000"/>
        </w:rPr>
        <w:t>the completion of a sale to a third party in a bona fide transaction or series of transactions of the whole or a substantial part of the Company's business or all or substantially all of the assets of the Group; or</w:t>
      </w:r>
    </w:p>
    <w:p w14:paraId="6DD1A8A6" w14:textId="77777777" w:rsidR="008A0561" w:rsidRPr="00A57F80" w:rsidRDefault="008A0561">
      <w:pPr>
        <w:pStyle w:val="AllensHeading3"/>
      </w:pPr>
      <w:r>
        <w:rPr>
          <w:color w:val="000000"/>
        </w:rPr>
        <w:t>any other event or series of events that together have the effect of allowing a realisation of substantially all of the Shares or assets of the Company,</w:t>
      </w:r>
    </w:p>
    <w:p w14:paraId="1F3FD4BA" w14:textId="77777777" w:rsidR="008A0561" w:rsidRDefault="008A0561" w:rsidP="00A57F80">
      <w:pPr>
        <w:pStyle w:val="AllensHeading3"/>
        <w:numPr>
          <w:ilvl w:val="0"/>
          <w:numId w:val="0"/>
        </w:numPr>
        <w:ind w:left="709"/>
      </w:pPr>
      <w:r>
        <w:rPr>
          <w:color w:val="000000"/>
        </w:rPr>
        <w:t xml:space="preserve">provided that no sale of transfer undertaken to effect a corporate reorganisation of the Company will constitute an Exit Event.  </w:t>
      </w:r>
    </w:p>
    <w:p w14:paraId="6ED0B71D" w14:textId="77777777" w:rsidR="008A0561" w:rsidRDefault="008A0561">
      <w:pPr>
        <w:pStyle w:val="AllensHeading3"/>
        <w:numPr>
          <w:ilvl w:val="0"/>
          <w:numId w:val="0"/>
        </w:numPr>
        <w:ind w:left="709"/>
      </w:pPr>
      <w:r>
        <w:rPr>
          <w:b/>
          <w:bCs/>
          <w:i/>
          <w:iCs/>
          <w:color w:val="000000"/>
        </w:rPr>
        <w:t>Exit Event Price</w:t>
      </w:r>
      <w:r>
        <w:rPr>
          <w:color w:val="000000"/>
        </w:rPr>
        <w:t xml:space="preserve"> means the value of an ordinary share in the capital of the Company determined by reference to the purchase price payable in connection with the Exit Event.</w:t>
      </w:r>
    </w:p>
    <w:p w14:paraId="580DC1AE" w14:textId="77777777" w:rsidR="008A0561" w:rsidRDefault="008A0561">
      <w:pPr>
        <w:pStyle w:val="AllensHeading3"/>
        <w:numPr>
          <w:ilvl w:val="0"/>
          <w:numId w:val="0"/>
        </w:numPr>
        <w:ind w:left="720" w:hanging="11"/>
      </w:pPr>
      <w:r>
        <w:rPr>
          <w:b/>
          <w:bCs/>
          <w:i/>
          <w:iCs/>
          <w:color w:val="000000"/>
        </w:rPr>
        <w:t xml:space="preserve">Fully Diluted Share Capital </w:t>
      </w:r>
      <w:r>
        <w:rPr>
          <w:color w:val="000000"/>
        </w:rPr>
        <w:t>means the total aggregate number of ordinary shares in the capital of the Company on issue immediately prior to the conversion, assuming all securities issued by the Company were exercised or converted into ordinary shares, but excluding any SAFE or other convertible debt financing instruments on issue (including pursuant to this agreement).</w:t>
      </w:r>
      <w:r>
        <w:rPr>
          <w:color w:val="000000"/>
          <w:highlight w:val="green"/>
        </w:rPr>
        <w:t xml:space="preserve"> </w:t>
      </w:r>
    </w:p>
    <w:p w14:paraId="22CC0AA7" w14:textId="77777777" w:rsidR="008A0561" w:rsidRDefault="008A0561">
      <w:pPr>
        <w:pStyle w:val="AllensHeading3"/>
        <w:keepNext/>
        <w:numPr>
          <w:ilvl w:val="0"/>
          <w:numId w:val="0"/>
        </w:numPr>
        <w:ind w:left="1418" w:hanging="709"/>
      </w:pPr>
      <w:r>
        <w:rPr>
          <w:b/>
          <w:i/>
          <w:iCs/>
        </w:rPr>
        <w:lastRenderedPageBreak/>
        <w:t>Group</w:t>
      </w:r>
      <w:r>
        <w:t xml:space="preserve"> means:</w:t>
      </w:r>
    </w:p>
    <w:p w14:paraId="08C1655D" w14:textId="77777777" w:rsidR="008A0561" w:rsidRDefault="008A0561">
      <w:pPr>
        <w:pStyle w:val="AllensHeading3"/>
        <w:numPr>
          <w:ilvl w:val="2"/>
          <w:numId w:val="51"/>
        </w:numPr>
      </w:pPr>
      <w:r>
        <w:rPr>
          <w:color w:val="000000"/>
        </w:rPr>
        <w:t>the Company; and</w:t>
      </w:r>
    </w:p>
    <w:p w14:paraId="7E5A5934" w14:textId="77777777" w:rsidR="008A0561" w:rsidRDefault="008A0561">
      <w:pPr>
        <w:pStyle w:val="AllensHeading3"/>
      </w:pPr>
      <w:r>
        <w:rPr>
          <w:color w:val="000000"/>
        </w:rPr>
        <w:t>each Subsidiary of the Company (if any).</w:t>
      </w:r>
    </w:p>
    <w:p w14:paraId="6B1D1779" w14:textId="77777777" w:rsidR="008A0561" w:rsidRDefault="008A0561">
      <w:pPr>
        <w:ind w:left="709"/>
      </w:pPr>
      <w:r>
        <w:rPr>
          <w:b/>
          <w:i/>
          <w:iCs/>
        </w:rPr>
        <w:t>Group Entity</w:t>
      </w:r>
      <w:r>
        <w:t xml:space="preserve"> means each entity which is a member of the Group.</w:t>
      </w:r>
    </w:p>
    <w:p w14:paraId="561A7943" w14:textId="77777777" w:rsidR="008A0561" w:rsidRDefault="008A0561">
      <w:pPr>
        <w:keepNext/>
        <w:ind w:left="709"/>
      </w:pPr>
      <w:r>
        <w:rPr>
          <w:b/>
          <w:i/>
          <w:iCs/>
        </w:rPr>
        <w:t>Insolvency Event</w:t>
      </w:r>
      <w:r>
        <w:t xml:space="preserve"> means the occurrence of any one or more of the following events in relation to any person:</w:t>
      </w:r>
    </w:p>
    <w:p w14:paraId="50AAE65E" w14:textId="77777777" w:rsidR="008A0561" w:rsidRDefault="008A0561">
      <w:pPr>
        <w:pStyle w:val="AllensHeading3"/>
        <w:numPr>
          <w:ilvl w:val="2"/>
          <w:numId w:val="52"/>
        </w:numPr>
      </w:pPr>
      <w:r>
        <w:rPr>
          <w:color w:val="000000"/>
        </w:rPr>
        <w:t>an application is made to a court for an order that it be wound up, declared bankrupt or that a provisional liquidator or receiver or receiver and manager be appointed, and the application is not withdrawn, struck out or dismissed within 21 Business Days of it being made;</w:t>
      </w:r>
    </w:p>
    <w:p w14:paraId="4754749F" w14:textId="77777777" w:rsidR="008A0561" w:rsidRDefault="008A0561">
      <w:pPr>
        <w:pStyle w:val="AllensHeading3"/>
      </w:pPr>
      <w:r>
        <w:rPr>
          <w:color w:val="000000"/>
        </w:rPr>
        <w:t>a liquidator or provisional liquidator is appointed and the appointment is not terminated within 21 Business Days of it being made;</w:t>
      </w:r>
    </w:p>
    <w:p w14:paraId="0E0AD4C0" w14:textId="77777777" w:rsidR="008A0561" w:rsidRDefault="008A0561">
      <w:pPr>
        <w:pStyle w:val="AllensHeading3"/>
      </w:pPr>
      <w:r>
        <w:rPr>
          <w:color w:val="000000"/>
        </w:rPr>
        <w:t>an administrator or a 'controller' (as that term is defined in the Corporations Act) is appointed to any of its assets and the appointment is not terminated within 21 Business Days of it being made;</w:t>
      </w:r>
    </w:p>
    <w:p w14:paraId="50908D2F" w14:textId="77777777" w:rsidR="008A0561" w:rsidRDefault="008A0561">
      <w:pPr>
        <w:pStyle w:val="AllensHeading3"/>
      </w:pPr>
      <w:r>
        <w:rPr>
          <w:color w:val="000000"/>
        </w:rPr>
        <w:t>it enters into an arrangement or composition with one or more of its creditors, or an assignment for the benefit of one or more of its creditors;</w:t>
      </w:r>
    </w:p>
    <w:p w14:paraId="54853032" w14:textId="77777777" w:rsidR="008A0561" w:rsidRDefault="008A0561">
      <w:pPr>
        <w:pStyle w:val="AllensHeading3"/>
      </w:pPr>
      <w:r>
        <w:rPr>
          <w:color w:val="000000"/>
        </w:rPr>
        <w:t>it proposes a winding-up or dissolution or reorganisation, moratorium, deed of company arrangement or other administration involving one or more of its creditors;</w:t>
      </w:r>
    </w:p>
    <w:p w14:paraId="1496CC21" w14:textId="77777777" w:rsidR="008A0561" w:rsidRDefault="008A0561">
      <w:pPr>
        <w:pStyle w:val="AllensHeading3"/>
      </w:pPr>
      <w:r>
        <w:rPr>
          <w:color w:val="000000"/>
        </w:rPr>
        <w:t>it is insolvent as disclosed in its accounts, or otherwise states that it is insolvent, or it is presumed to be insolvent under an applicable law;</w:t>
      </w:r>
    </w:p>
    <w:p w14:paraId="7821B8EB" w14:textId="77777777" w:rsidR="008A0561" w:rsidRDefault="008A0561">
      <w:pPr>
        <w:pStyle w:val="AllensHeading3"/>
      </w:pPr>
      <w:r>
        <w:rPr>
          <w:color w:val="000000"/>
        </w:rPr>
        <w:t>it becomes an 'Insolvent under Administration' or action is taken which could result in that event and the proceeding is not dismissed within 21 Business Days of the date action is taken;</w:t>
      </w:r>
    </w:p>
    <w:p w14:paraId="40C012A5" w14:textId="77777777" w:rsidR="008A0561" w:rsidRDefault="008A0561">
      <w:pPr>
        <w:pStyle w:val="AllensHeading3"/>
      </w:pPr>
      <w:r>
        <w:rPr>
          <w:color w:val="000000"/>
        </w:rPr>
        <w:t>it is taken to have failed to comply with a statutory demand as a result of section 459F(1) of the Corporations Act;</w:t>
      </w:r>
    </w:p>
    <w:p w14:paraId="239826C6" w14:textId="77777777" w:rsidR="008A0561" w:rsidRDefault="008A0561">
      <w:pPr>
        <w:pStyle w:val="AllensHeading3"/>
      </w:pPr>
      <w:r>
        <w:rPr>
          <w:color w:val="000000"/>
        </w:rPr>
        <w:t>a notice is issued under sections 601AA or 601AB of the Corporations Act and not withdrawn or dismissed within 21 Business Days;</w:t>
      </w:r>
    </w:p>
    <w:p w14:paraId="1F1443D0" w14:textId="77777777" w:rsidR="008A0561" w:rsidRDefault="008A0561">
      <w:pPr>
        <w:pStyle w:val="AllensHeading3"/>
      </w:pPr>
      <w:r>
        <w:rPr>
          <w:color w:val="000000"/>
        </w:rPr>
        <w:t>a writ of execution is levied against it or a material part of its property which is not dismissed within 21 Business Days;</w:t>
      </w:r>
    </w:p>
    <w:p w14:paraId="677A39C8" w14:textId="77777777" w:rsidR="008A0561" w:rsidRDefault="008A0561">
      <w:pPr>
        <w:pStyle w:val="AllensHeading3"/>
      </w:pPr>
      <w:r>
        <w:rPr>
          <w:color w:val="000000"/>
        </w:rPr>
        <w:t>it ceases to carry on business or threatens to do so, other than for reorganisation or restructuring in accordance with the terms of this agreement; or</w:t>
      </w:r>
    </w:p>
    <w:p w14:paraId="5707A8D6" w14:textId="77777777" w:rsidR="008A0561" w:rsidRDefault="008A0561">
      <w:pPr>
        <w:pStyle w:val="AllensHeading3"/>
      </w:pPr>
      <w:r>
        <w:rPr>
          <w:color w:val="000000"/>
        </w:rPr>
        <w:t>anything occurs under the law of any jurisdiction which has a substantially similar effect to any of the above clauses of this definition.</w:t>
      </w:r>
    </w:p>
    <w:p w14:paraId="5BE50B42" w14:textId="77777777" w:rsidR="008A0561" w:rsidRDefault="008A0561">
      <w:pPr>
        <w:pStyle w:val="AllensHeading3"/>
        <w:numPr>
          <w:ilvl w:val="0"/>
          <w:numId w:val="0"/>
        </w:numPr>
        <w:ind w:left="709"/>
      </w:pPr>
      <w:r>
        <w:rPr>
          <w:b/>
          <w:i/>
          <w:iCs/>
        </w:rPr>
        <w:t>Investor</w:t>
      </w:r>
      <w:r>
        <w:rPr>
          <w:b/>
        </w:rPr>
        <w:t xml:space="preserve"> </w:t>
      </w:r>
      <w:r>
        <w:t>has the meaning given in the "Parties" section of this agreement.</w:t>
      </w:r>
    </w:p>
    <w:p w14:paraId="7CEDC3EE" w14:textId="77777777" w:rsidR="008A0561" w:rsidRDefault="008A0561">
      <w:pPr>
        <w:pStyle w:val="AllensHeading3"/>
        <w:numPr>
          <w:ilvl w:val="0"/>
          <w:numId w:val="0"/>
        </w:numPr>
        <w:ind w:left="709"/>
      </w:pPr>
      <w:r>
        <w:rPr>
          <w:noProof/>
          <w:lang w:eastAsia="en-AU"/>
        </w:rPr>
        <mc:AlternateContent>
          <mc:Choice Requires="wps">
            <w:drawing>
              <wp:inline distT="0" distB="0" distL="0" distR="0" wp14:anchorId="62C141B2" wp14:editId="2B0241ED">
                <wp:extent cx="5380893" cy="738554"/>
                <wp:effectExtent l="0" t="0" r="0" b="4445"/>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738554"/>
                        </a:xfrm>
                        <a:prstGeom prst="rect">
                          <a:avLst/>
                        </a:prstGeom>
                        <a:solidFill>
                          <a:srgbClr val="DAE0E4"/>
                        </a:solidFill>
                        <a:ln w="6350">
                          <a:noFill/>
                        </a:ln>
                        <a:effectLst/>
                      </wps:spPr>
                      <wps:txbx>
                        <w:txbxContent>
                          <w:p w14:paraId="0986196C" w14:textId="77777777" w:rsidR="008A0561" w:rsidRPr="004E5DD7" w:rsidRDefault="008A0561">
                            <w:pPr>
                              <w:rPr>
                                <w:b/>
                                <w:color w:val="0074BF"/>
                              </w:rPr>
                            </w:pPr>
                            <w:r w:rsidRPr="004E5DD7">
                              <w:rPr>
                                <w:b/>
                                <w:color w:val="0074BF"/>
                              </w:rPr>
                              <w:t>Guidance note</w:t>
                            </w:r>
                          </w:p>
                          <w:p w14:paraId="788A0A10" w14:textId="77777777" w:rsidR="008A0561" w:rsidRDefault="008A0561">
                            <w:pPr>
                              <w:rPr>
                                <w:color w:val="000000"/>
                              </w:rPr>
                            </w:pPr>
                            <w:r>
                              <w:rPr>
                                <w:color w:val="000000"/>
                              </w:rPr>
                              <w:t xml:space="preserve">The 'Purchase Price' is the total amount the investor is investing under the SAFE.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2C141B2" id="Text Box 15" o:spid="_x0000_s1030" type="#_x0000_t202" style="width:423.7pt;height:5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" fillcolor="#dae0e4" stroked="f" strokeweight=".5pt">
                <v:textbox inset=",0">
                  <w:txbxContent>
                    <w:p w14:paraId="0986196C" w14:textId="77777777" w:rsidR="008A0561" w:rsidRPr="004E5DD7" w:rsidRDefault="008A0561">
                      <w:pPr>
                        <w:rPr>
                          <w:b/>
                          <w:color w:val="0074BF"/>
                        </w:rPr>
                      </w:pPr>
                      <w:r w:rsidRPr="004E5DD7">
                        <w:rPr>
                          <w:b/>
                          <w:color w:val="0074BF"/>
                        </w:rPr>
                        <w:t>Guidance note</w:t>
                      </w:r>
                    </w:p>
                    <w:p w14:paraId="788A0A10" w14:textId="77777777" w:rsidR="008A0561" w:rsidRDefault="008A0561">
                      <w:pPr>
                        <w:rPr>
                          <w:color w:val="000000"/>
                        </w:rPr>
                      </w:pPr>
                      <w:r>
                        <w:rPr>
                          <w:color w:val="000000"/>
                        </w:rPr>
                        <w:t xml:space="preserve">The 'Purchase Price' is the total amount the investor is investing under the SAFE. </w:t>
                      </w:r>
                    </w:p>
                  </w:txbxContent>
                </v:textbox>
                <w10:anchorlock/>
              </v:shape>
            </w:pict>
          </mc:Fallback>
        </mc:AlternateContent>
      </w:r>
    </w:p>
    <w:p w14:paraId="48828350" w14:textId="77777777" w:rsidR="008A0561" w:rsidRDefault="008A0561">
      <w:pPr>
        <w:ind w:left="709"/>
      </w:pPr>
      <w:r>
        <w:rPr>
          <w:b/>
          <w:i/>
          <w:iCs/>
        </w:rPr>
        <w:t>Purchase Price</w:t>
      </w:r>
      <w:r>
        <w:t xml:space="preserve"> means $[</w:t>
      </w:r>
      <w:r>
        <w:rPr>
          <w:highlight w:val="yellow"/>
        </w:rPr>
        <w:t>*</w:t>
      </w:r>
      <w:r>
        <w:t>].</w:t>
      </w:r>
    </w:p>
    <w:p w14:paraId="51F465A9" w14:textId="77777777" w:rsidR="008A0561" w:rsidRDefault="008A0561">
      <w:pPr>
        <w:ind w:left="709"/>
      </w:pPr>
      <w:r>
        <w:rPr>
          <w:noProof/>
          <w:lang w:eastAsia="en-AU"/>
        </w:rPr>
        <w:lastRenderedPageBreak/>
        <mc:AlternateContent>
          <mc:Choice Requires="wps">
            <w:drawing>
              <wp:inline distT="0" distB="0" distL="0" distR="0" wp14:anchorId="10A7E908" wp14:editId="14A399C5">
                <wp:extent cx="5380893" cy="888023"/>
                <wp:effectExtent l="0" t="0" r="0" b="762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888023"/>
                        </a:xfrm>
                        <a:prstGeom prst="rect">
                          <a:avLst/>
                        </a:prstGeom>
                        <a:solidFill>
                          <a:srgbClr val="DAE0E4"/>
                        </a:solidFill>
                        <a:ln w="6350">
                          <a:noFill/>
                        </a:ln>
                        <a:effectLst/>
                      </wps:spPr>
                      <wps:txbx>
                        <w:txbxContent>
                          <w:p w14:paraId="3E36C00F" w14:textId="77777777" w:rsidR="008A0561" w:rsidRPr="004E5DD7" w:rsidRDefault="008A0561">
                            <w:pPr>
                              <w:rPr>
                                <w:b/>
                                <w:color w:val="0074BF"/>
                              </w:rPr>
                            </w:pPr>
                            <w:r w:rsidRPr="004E5DD7">
                              <w:rPr>
                                <w:b/>
                                <w:color w:val="0074BF"/>
                              </w:rPr>
                              <w:t>Guidance note</w:t>
                            </w:r>
                          </w:p>
                          <w:p w14:paraId="5572E3B4" w14:textId="2A55DB64" w:rsidR="008A0561" w:rsidRDefault="008A0561">
                            <w:pPr>
                              <w:rPr>
                                <w:color w:val="000000"/>
                              </w:rPr>
                            </w:pPr>
                            <w:r>
                              <w:rPr>
                                <w:color w:val="000000"/>
                              </w:rPr>
                              <w:t xml:space="preserve">The definition of 'Senior Ranking Shares' is optional. See clause </w:t>
                            </w:r>
                            <w:r>
                              <w:rPr>
                                <w:color w:val="000000"/>
                              </w:rPr>
                              <w:fldChar w:fldCharType="begin"/>
                            </w:r>
                            <w:r>
                              <w:rPr>
                                <w:color w:val="000000"/>
                              </w:rPr>
                              <w:instrText xml:space="preserve"> REF _Ref175219634 \w \h </w:instrText>
                            </w:r>
                            <w:r>
                              <w:rPr>
                                <w:color w:val="000000"/>
                              </w:rPr>
                            </w:r>
                            <w:r>
                              <w:rPr>
                                <w:color w:val="000000"/>
                              </w:rPr>
                              <w:fldChar w:fldCharType="separate"/>
                            </w:r>
                            <w:r w:rsidR="00E57E1B">
                              <w:rPr>
                                <w:color w:val="000000"/>
                              </w:rPr>
                              <w:t>4(b)</w:t>
                            </w:r>
                            <w:r>
                              <w:rPr>
                                <w:color w:val="000000"/>
                              </w:rPr>
                              <w:fldChar w:fldCharType="end"/>
                            </w:r>
                            <w:r>
                              <w:rPr>
                                <w:color w:val="000000"/>
                              </w:rPr>
                              <w:t xml:space="preserve">. If you opt to instead include ordinary shares in clause </w:t>
                            </w:r>
                            <w:r>
                              <w:rPr>
                                <w:color w:val="000000"/>
                              </w:rPr>
                              <w:fldChar w:fldCharType="begin"/>
                            </w:r>
                            <w:r>
                              <w:rPr>
                                <w:color w:val="000000"/>
                              </w:rPr>
                              <w:instrText xml:space="preserve"> REF _Ref175219634 \w \h </w:instrText>
                            </w:r>
                            <w:r>
                              <w:rPr>
                                <w:color w:val="000000"/>
                              </w:rPr>
                            </w:r>
                            <w:r>
                              <w:rPr>
                                <w:color w:val="000000"/>
                              </w:rPr>
                              <w:fldChar w:fldCharType="separate"/>
                            </w:r>
                            <w:r w:rsidR="00E57E1B">
                              <w:rPr>
                                <w:color w:val="000000"/>
                              </w:rPr>
                              <w:t>4(b)</w:t>
                            </w:r>
                            <w:r>
                              <w:rPr>
                                <w:color w:val="000000"/>
                              </w:rPr>
                              <w:fldChar w:fldCharType="end"/>
                            </w:r>
                            <w:r>
                              <w:rPr>
                                <w:color w:val="000000"/>
                              </w:rPr>
                              <w:t xml:space="preserve">, delete this definition.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10A7E908" id="_x0000_t202" coordsize="21600,21600" o:spt="202" path="m,l,21600r21600,l21600,xe">
                <v:stroke joinstyle="miter"/>
                <v:path gradientshapeok="t" o:connecttype="rect"/>
              </v:shapetype>
              <v:shape id="Text Box 3" o:spid="_x0000_s1031" type="#_x0000_t202" style="width:423.7pt;height:6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" fillcolor="#dae0e4" stroked="f" strokeweight=".5pt">
                <v:textbox inset=",0">
                  <w:txbxContent>
                    <w:p w14:paraId="3E36C00F" w14:textId="77777777" w:rsidR="008A0561" w:rsidRPr="004E5DD7" w:rsidRDefault="008A0561">
                      <w:pPr>
                        <w:rPr>
                          <w:b/>
                          <w:color w:val="0074BF"/>
                        </w:rPr>
                      </w:pPr>
                      <w:r w:rsidRPr="004E5DD7">
                        <w:rPr>
                          <w:b/>
                          <w:color w:val="0074BF"/>
                        </w:rPr>
                        <w:t>Guidance note</w:t>
                      </w:r>
                    </w:p>
                    <w:p w14:paraId="5572E3B4" w14:textId="2A55DB64" w:rsidR="008A0561" w:rsidRDefault="008A0561">
                      <w:pPr>
                        <w:rPr>
                          <w:color w:val="000000"/>
                        </w:rPr>
                      </w:pPr>
                      <w:r>
                        <w:rPr>
                          <w:color w:val="000000"/>
                        </w:rPr>
                        <w:t xml:space="preserve">The definition of 'Senior Ranking Shares' is optional. See clause </w:t>
                      </w:r>
                      <w:r>
                        <w:rPr>
                          <w:color w:val="000000"/>
                        </w:rPr>
                        <w:fldChar w:fldCharType="begin"/>
                      </w:r>
                      <w:r>
                        <w:rPr>
                          <w:color w:val="000000"/>
                        </w:rPr>
                        <w:instrText xml:space="preserve"> REF _Ref175219634 \w \h </w:instrText>
                      </w:r>
                      <w:r>
                        <w:rPr>
                          <w:color w:val="000000"/>
                        </w:rPr>
                      </w:r>
                      <w:r>
                        <w:rPr>
                          <w:color w:val="000000"/>
                        </w:rPr>
                        <w:fldChar w:fldCharType="separate"/>
                      </w:r>
                      <w:r w:rsidR="00E57E1B">
                        <w:rPr>
                          <w:color w:val="000000"/>
                        </w:rPr>
                        <w:t>4(b)</w:t>
                      </w:r>
                      <w:r>
                        <w:rPr>
                          <w:color w:val="000000"/>
                        </w:rPr>
                        <w:fldChar w:fldCharType="end"/>
                      </w:r>
                      <w:r>
                        <w:rPr>
                          <w:color w:val="000000"/>
                        </w:rPr>
                        <w:t xml:space="preserve">. If you opt to instead include ordinary shares in clause </w:t>
                      </w:r>
                      <w:r>
                        <w:rPr>
                          <w:color w:val="000000"/>
                        </w:rPr>
                        <w:fldChar w:fldCharType="begin"/>
                      </w:r>
                      <w:r>
                        <w:rPr>
                          <w:color w:val="000000"/>
                        </w:rPr>
                        <w:instrText xml:space="preserve"> REF _Ref175219634 \w \h </w:instrText>
                      </w:r>
                      <w:r>
                        <w:rPr>
                          <w:color w:val="000000"/>
                        </w:rPr>
                      </w:r>
                      <w:r>
                        <w:rPr>
                          <w:color w:val="000000"/>
                        </w:rPr>
                        <w:fldChar w:fldCharType="separate"/>
                      </w:r>
                      <w:r w:rsidR="00E57E1B">
                        <w:rPr>
                          <w:color w:val="000000"/>
                        </w:rPr>
                        <w:t>4(b)</w:t>
                      </w:r>
                      <w:r>
                        <w:rPr>
                          <w:color w:val="000000"/>
                        </w:rPr>
                        <w:fldChar w:fldCharType="end"/>
                      </w:r>
                      <w:r>
                        <w:rPr>
                          <w:color w:val="000000"/>
                        </w:rPr>
                        <w:t xml:space="preserve">, delete this definition. </w:t>
                      </w:r>
                    </w:p>
                  </w:txbxContent>
                </v:textbox>
                <w10:anchorlock/>
              </v:shape>
            </w:pict>
          </mc:Fallback>
        </mc:AlternateContent>
      </w:r>
    </w:p>
    <w:p w14:paraId="27ECD6D1" w14:textId="77777777" w:rsidR="008A0561" w:rsidRDefault="008A0561">
      <w:pPr>
        <w:ind w:left="709"/>
        <w:rPr>
          <w:bCs/>
        </w:rPr>
      </w:pPr>
      <w:r>
        <w:rPr>
          <w:bCs/>
        </w:rPr>
        <w:t>[</w:t>
      </w:r>
      <w:r w:rsidRPr="00A57F80">
        <w:rPr>
          <w:b/>
          <w:i/>
          <w:iCs/>
          <w:highlight w:val="yellow"/>
        </w:rPr>
        <w:t>Senior Ranking Shares</w:t>
      </w:r>
      <w:r w:rsidRPr="00A57F80">
        <w:rPr>
          <w:bCs/>
          <w:highlight w:val="yellow"/>
        </w:rPr>
        <w:t xml:space="preserve"> means a Share in the class of Shares on issue at the time of the Exit  Event having the most favourable terms provided that, in the event of a dispute regarding the class of Shares which constitutes 'Senior Ranking Shares', the Senior Raking Shares will be Shares in such class of Shares nominated by the Investor.</w:t>
      </w:r>
      <w:r>
        <w:rPr>
          <w:bCs/>
        </w:rPr>
        <w:t>]</w:t>
      </w:r>
    </w:p>
    <w:p w14:paraId="43F9E246" w14:textId="77777777" w:rsidR="008A0561" w:rsidRDefault="008A0561">
      <w:pPr>
        <w:ind w:left="709"/>
      </w:pPr>
      <w:r>
        <w:rPr>
          <w:b/>
          <w:i/>
          <w:iCs/>
        </w:rPr>
        <w:t>Security Interest</w:t>
      </w:r>
      <w:r>
        <w:t xml:space="preserve"> means:</w:t>
      </w:r>
    </w:p>
    <w:p w14:paraId="646A62CE" w14:textId="77777777" w:rsidR="008A0561" w:rsidRDefault="008A0561">
      <w:pPr>
        <w:pStyle w:val="AllensHeading3"/>
        <w:numPr>
          <w:ilvl w:val="2"/>
          <w:numId w:val="55"/>
        </w:numPr>
      </w:pPr>
      <w:r>
        <w:rPr>
          <w:color w:val="000000"/>
        </w:rPr>
        <w:t>any third party rights or interests including a mortgage, bill of sale, charge, lien, pledge, trust, encumbrance, power or title retention arrangement, right of set-off, assignment of income, garnishee order or monetary claim and flawed deposit arrangements or any arrangement having a similar effect; and</w:t>
      </w:r>
    </w:p>
    <w:p w14:paraId="605D6EB2" w14:textId="77777777" w:rsidR="008A0561" w:rsidRDefault="008A0561">
      <w:pPr>
        <w:pStyle w:val="AllensHeading3"/>
      </w:pPr>
      <w:r>
        <w:rPr>
          <w:color w:val="000000"/>
        </w:rPr>
        <w:t xml:space="preserve">a 'security interest' as defined in the </w:t>
      </w:r>
      <w:r>
        <w:rPr>
          <w:i/>
          <w:iCs/>
          <w:color w:val="000000"/>
        </w:rPr>
        <w:t>Personal Property Securities Act 2009</w:t>
      </w:r>
      <w:r>
        <w:rPr>
          <w:color w:val="000000"/>
        </w:rPr>
        <w:t xml:space="preserve"> (</w:t>
      </w:r>
      <w:proofErr w:type="spellStart"/>
      <w:r>
        <w:rPr>
          <w:color w:val="000000"/>
        </w:rPr>
        <w:t>Cth</w:t>
      </w:r>
      <w:proofErr w:type="spellEnd"/>
      <w:r>
        <w:rPr>
          <w:color w:val="000000"/>
        </w:rPr>
        <w:t>),</w:t>
      </w:r>
    </w:p>
    <w:p w14:paraId="7B6C9826" w14:textId="77777777" w:rsidR="008A0561" w:rsidRDefault="008A0561">
      <w:pPr>
        <w:ind w:left="709"/>
      </w:pPr>
      <w:r>
        <w:t>and includes any agreement to create any of them or allow them to exist.</w:t>
      </w:r>
    </w:p>
    <w:p w14:paraId="1015E2D1" w14:textId="77777777" w:rsidR="008A0561" w:rsidRDefault="008A0561">
      <w:pPr>
        <w:ind w:left="709"/>
      </w:pPr>
      <w:r>
        <w:rPr>
          <w:b/>
          <w:i/>
          <w:iCs/>
        </w:rPr>
        <w:t xml:space="preserve">Share </w:t>
      </w:r>
      <w:r>
        <w:t>means a share in the capital of the Company.</w:t>
      </w:r>
    </w:p>
    <w:p w14:paraId="32AB2CE4" w14:textId="77777777" w:rsidR="008A0561" w:rsidRDefault="008A0561">
      <w:pPr>
        <w:ind w:left="709"/>
        <w:rPr>
          <w:b/>
          <w:i/>
          <w:iCs/>
        </w:rPr>
      </w:pPr>
      <w:r>
        <w:rPr>
          <w:b/>
          <w:i/>
          <w:iCs/>
        </w:rPr>
        <w:t>Share Price</w:t>
      </w:r>
      <w:r>
        <w:rPr>
          <w:b/>
        </w:rPr>
        <w:t xml:space="preserve"> </w:t>
      </w:r>
      <w:r>
        <w:rPr>
          <w:bCs/>
        </w:rPr>
        <w:t>means the price per Share issued in the Eligible Financing.</w:t>
      </w:r>
    </w:p>
    <w:p w14:paraId="6BE5ECCF" w14:textId="77777777" w:rsidR="008A0561" w:rsidRDefault="008A0561">
      <w:pPr>
        <w:keepNext/>
        <w:ind w:left="709"/>
      </w:pPr>
      <w:r>
        <w:rPr>
          <w:b/>
          <w:i/>
          <w:iCs/>
        </w:rPr>
        <w:t>Subsidiary</w:t>
      </w:r>
      <w:r>
        <w:t xml:space="preserve"> has the meaning given in the Corporations Act but so that:</w:t>
      </w:r>
    </w:p>
    <w:p w14:paraId="6EBAB410" w14:textId="77777777" w:rsidR="008A0561" w:rsidRDefault="008A0561">
      <w:pPr>
        <w:pStyle w:val="AllensHeading3"/>
        <w:numPr>
          <w:ilvl w:val="2"/>
          <w:numId w:val="56"/>
        </w:numPr>
      </w:pPr>
      <w:r>
        <w:rPr>
          <w:color w:val="000000"/>
        </w:rPr>
        <w:t>an entity will also be considered to be a Subsidiary of a company if it is controlled by that company within the meaning of section 50AA of the Corporations Act;</w:t>
      </w:r>
    </w:p>
    <w:p w14:paraId="0B9AB530" w14:textId="77777777" w:rsidR="008A0561" w:rsidRDefault="008A0561">
      <w:pPr>
        <w:pStyle w:val="AllensHeading3"/>
      </w:pPr>
      <w:r>
        <w:rPr>
          <w:color w:val="000000"/>
        </w:rPr>
        <w:t>a trust may be a Subsidiary, for the purposes of which a unit or other beneficial interest will be regarded as a share; and</w:t>
      </w:r>
    </w:p>
    <w:p w14:paraId="4925B127" w14:textId="77777777" w:rsidR="008A0561" w:rsidRDefault="008A0561">
      <w:pPr>
        <w:pStyle w:val="AllensHeading3"/>
      </w:pPr>
      <w:r>
        <w:rPr>
          <w:color w:val="000000"/>
        </w:rPr>
        <w:t>a corporation or trust may be a Subsidiary of a trust if it would have been a Subsidiary if that trust were a corporation.</w:t>
      </w:r>
    </w:p>
    <w:p w14:paraId="460A0048" w14:textId="77777777" w:rsidR="008A0561" w:rsidRDefault="008A0561">
      <w:pPr>
        <w:keepNext/>
        <w:ind w:left="709"/>
      </w:pPr>
      <w:r>
        <w:rPr>
          <w:b/>
          <w:i/>
          <w:iCs/>
        </w:rPr>
        <w:t>Termination Date</w:t>
      </w:r>
      <w:r>
        <w:t xml:space="preserve"> means the earlier of:</w:t>
      </w:r>
    </w:p>
    <w:p w14:paraId="08B99F34" w14:textId="40995330" w:rsidR="008A0561" w:rsidRDefault="008A0561">
      <w:pPr>
        <w:pStyle w:val="AllensHeading3"/>
        <w:numPr>
          <w:ilvl w:val="2"/>
          <w:numId w:val="57"/>
        </w:numPr>
      </w:pPr>
      <w:r>
        <w:rPr>
          <w:color w:val="000000"/>
        </w:rPr>
        <w:t xml:space="preserve">the date Shares are issued to the Investor pursuant to clauses </w:t>
      </w:r>
      <w:r>
        <w:rPr>
          <w:color w:val="000000"/>
        </w:rPr>
        <w:fldChar w:fldCharType="begin"/>
      </w:r>
      <w:r>
        <w:rPr>
          <w:color w:val="000000"/>
        </w:rPr>
        <w:instrText xml:space="preserve"> REF _Ref479610467 \w \h </w:instrText>
      </w:r>
      <w:r>
        <w:rPr>
          <w:color w:val="000000"/>
        </w:rPr>
      </w:r>
      <w:r>
        <w:rPr>
          <w:color w:val="000000"/>
        </w:rPr>
        <w:fldChar w:fldCharType="separate"/>
      </w:r>
      <w:r w:rsidR="00E57E1B">
        <w:rPr>
          <w:color w:val="000000"/>
        </w:rPr>
        <w:t>3</w:t>
      </w:r>
      <w:r>
        <w:rPr>
          <w:color w:val="000000"/>
        </w:rPr>
        <w:fldChar w:fldCharType="end"/>
      </w:r>
      <w:r>
        <w:rPr>
          <w:color w:val="000000"/>
        </w:rPr>
        <w:t xml:space="preserve"> or </w:t>
      </w:r>
      <w:r>
        <w:rPr>
          <w:color w:val="000000"/>
        </w:rPr>
        <w:fldChar w:fldCharType="begin"/>
      </w:r>
      <w:r>
        <w:rPr>
          <w:color w:val="000000"/>
        </w:rPr>
        <w:instrText xml:space="preserve"> REF _Ref479610468 \w \h </w:instrText>
      </w:r>
      <w:r>
        <w:rPr>
          <w:color w:val="000000"/>
        </w:rPr>
      </w:r>
      <w:r>
        <w:rPr>
          <w:color w:val="000000"/>
        </w:rPr>
        <w:fldChar w:fldCharType="separate"/>
      </w:r>
      <w:r w:rsidR="00E57E1B">
        <w:rPr>
          <w:color w:val="000000"/>
        </w:rPr>
        <w:t>4</w:t>
      </w:r>
      <w:r>
        <w:rPr>
          <w:color w:val="000000"/>
        </w:rPr>
        <w:fldChar w:fldCharType="end"/>
      </w:r>
      <w:r>
        <w:rPr>
          <w:color w:val="000000"/>
        </w:rPr>
        <w:t>; or</w:t>
      </w:r>
    </w:p>
    <w:p w14:paraId="541D4796" w14:textId="413AB005" w:rsidR="008A0561" w:rsidRDefault="008A0561">
      <w:pPr>
        <w:pStyle w:val="AllensHeading3"/>
      </w:pPr>
      <w:r>
        <w:rPr>
          <w:color w:val="000000"/>
        </w:rPr>
        <w:t xml:space="preserve">the date of payment of amounts due to the Investor pursuant to clause </w:t>
      </w:r>
      <w:r>
        <w:rPr>
          <w:color w:val="000000"/>
        </w:rPr>
        <w:fldChar w:fldCharType="begin"/>
      </w:r>
      <w:r>
        <w:rPr>
          <w:color w:val="000000"/>
        </w:rPr>
        <w:instrText xml:space="preserve"> REF _Ref67498559 \r \h </w:instrText>
      </w:r>
      <w:r>
        <w:rPr>
          <w:color w:val="000000"/>
        </w:rPr>
      </w:r>
      <w:r>
        <w:rPr>
          <w:color w:val="000000"/>
        </w:rPr>
        <w:fldChar w:fldCharType="separate"/>
      </w:r>
      <w:r w:rsidR="00E57E1B">
        <w:rPr>
          <w:color w:val="000000"/>
        </w:rPr>
        <w:t>5</w:t>
      </w:r>
      <w:r>
        <w:rPr>
          <w:color w:val="000000"/>
        </w:rPr>
        <w:fldChar w:fldCharType="end"/>
      </w:r>
      <w:r>
        <w:rPr>
          <w:color w:val="000000"/>
        </w:rPr>
        <w:t>.</w:t>
      </w:r>
    </w:p>
    <w:p w14:paraId="02501A17" w14:textId="77777777" w:rsidR="008A0561" w:rsidRDefault="008A0561">
      <w:pPr>
        <w:ind w:left="709"/>
      </w:pPr>
      <w:r>
        <w:rPr>
          <w:noProof/>
          <w:lang w:eastAsia="en-AU"/>
        </w:rPr>
        <w:lastRenderedPageBreak/>
        <mc:AlternateContent>
          <mc:Choice Requires="wps">
            <w:drawing>
              <wp:inline distT="0" distB="0" distL="0" distR="0" wp14:anchorId="634EE771" wp14:editId="6511C1D3">
                <wp:extent cx="5380893" cy="3015761"/>
                <wp:effectExtent l="0" t="0" r="0" b="0"/>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3015761"/>
                        </a:xfrm>
                        <a:prstGeom prst="rect">
                          <a:avLst/>
                        </a:prstGeom>
                        <a:solidFill>
                          <a:srgbClr val="DAE0E4"/>
                        </a:solidFill>
                        <a:ln w="6350">
                          <a:noFill/>
                        </a:ln>
                        <a:effectLst/>
                      </wps:spPr>
                      <wps:txbx>
                        <w:txbxContent>
                          <w:p w14:paraId="27DE48C8" w14:textId="77777777" w:rsidR="008A0561" w:rsidRPr="004E5DD7" w:rsidRDefault="008A0561">
                            <w:pPr>
                              <w:rPr>
                                <w:b/>
                                <w:color w:val="0074BF"/>
                              </w:rPr>
                            </w:pPr>
                            <w:r w:rsidRPr="004E5DD7">
                              <w:rPr>
                                <w:b/>
                                <w:color w:val="0074BF"/>
                              </w:rPr>
                              <w:t>Guidance note</w:t>
                            </w:r>
                          </w:p>
                          <w:p w14:paraId="159AD63C" w14:textId="77777777" w:rsidR="008A0561" w:rsidRDefault="008A0561">
                            <w:pPr>
                              <w:rPr>
                                <w:color w:val="000000"/>
                              </w:rPr>
                            </w:pPr>
                            <w:r>
                              <w:rPr>
                                <w:color w:val="000000"/>
                              </w:rPr>
                              <w:t xml:space="preserve">A 'Valuation Cap' may be required by the Investor. The SAFE operates by converting at a discount to the valuation of the Company at the relevant time of an Eligible Fundraising or Exit Event. Where you also include a valuation cap, if the discounted valuation of the Company is more than the valuation cap at the time of conversion, the SAFE will convert at the valuation cap instead. This protects the Investor from a situation where the Company raises its next round at an unexpectedly high valuation and the Investor receives a smaller than anticipated number of shares as a result. When setting this valuation cap, you should consider it as the pre-money valuation of the Company. </w:t>
                            </w:r>
                          </w:p>
                          <w:p w14:paraId="70196A66" w14:textId="77777777" w:rsidR="008A0561" w:rsidRDefault="008A0561">
                            <w:pPr>
                              <w:rPr>
                                <w:color w:val="000000"/>
                              </w:rPr>
                            </w:pPr>
                            <w:r>
                              <w:rPr>
                                <w:color w:val="000000"/>
                              </w:rPr>
                              <w:t xml:space="preserve">This document is structured as a 'pre-money SAFE'. As you will see at the definition of Fully Diluted Share Capital, the Shares to be issued on conversion of the SAFE are excluded from the Company capitalisation and are therefore not taken into account when determining the Valuation Cap Price. This is a more company-friendly position, however, 'post-money SAFEs' (where these conversion Shares are included in the Company capitalisation) are increasing in popularity.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34EE771" id="Text Box 13" o:spid="_x0000_s1032" type="#_x0000_t202" style="width:423.7pt;height:23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" fillcolor="#dae0e4" stroked="f" strokeweight=".5pt">
                <v:textbox inset=",0">
                  <w:txbxContent>
                    <w:p w14:paraId="27DE48C8" w14:textId="77777777" w:rsidR="008A0561" w:rsidRPr="004E5DD7" w:rsidRDefault="008A0561">
                      <w:pPr>
                        <w:rPr>
                          <w:b/>
                          <w:color w:val="0074BF"/>
                        </w:rPr>
                      </w:pPr>
                      <w:r w:rsidRPr="004E5DD7">
                        <w:rPr>
                          <w:b/>
                          <w:color w:val="0074BF"/>
                        </w:rPr>
                        <w:t>Guidance note</w:t>
                      </w:r>
                    </w:p>
                    <w:p w14:paraId="159AD63C" w14:textId="77777777" w:rsidR="008A0561" w:rsidRDefault="008A0561">
                      <w:pPr>
                        <w:rPr>
                          <w:color w:val="000000"/>
                        </w:rPr>
                      </w:pPr>
                      <w:r>
                        <w:rPr>
                          <w:color w:val="000000"/>
                        </w:rPr>
                        <w:t xml:space="preserve">A 'Valuation Cap' may be required by the Investor. The SAFE operates by converting at a discount to the valuation of the Company at the relevant time of an Eligible Fundraising or Exit Event. Where you also include a valuation cap, if the discounted valuation of the Company is more than the valuation cap at the time of conversion, the SAFE will convert at the valuation cap instead. This protects the Investor from a situation where the Company raises its next round at an unexpectedly high valuation and the Investor receives a smaller than anticipated number of shares as a result. When setting this valuation cap, you should consider it as the pre-money valuation of the Company. </w:t>
                      </w:r>
                    </w:p>
                    <w:p w14:paraId="70196A66" w14:textId="77777777" w:rsidR="008A0561" w:rsidRDefault="008A0561">
                      <w:pPr>
                        <w:rPr>
                          <w:color w:val="000000"/>
                        </w:rPr>
                      </w:pPr>
                      <w:r>
                        <w:rPr>
                          <w:color w:val="000000"/>
                        </w:rPr>
                        <w:t xml:space="preserve">This document is structured as a 'pre-money SAFE'. As you will see at the definition of Fully Diluted Share Capital, the Shares to be issued on conversion of the SAFE are excluded from the Company capitalisation and are therefore not taken into account when determining the Valuation Cap Price. This is a more company-friendly position, however, 'post-money SAFEs' (where these conversion Shares are included in the Company capitalisation) are increasing in popularity. </w:t>
                      </w:r>
                    </w:p>
                  </w:txbxContent>
                </v:textbox>
                <w10:anchorlock/>
              </v:shape>
            </w:pict>
          </mc:Fallback>
        </mc:AlternateContent>
      </w:r>
    </w:p>
    <w:p w14:paraId="56059A9A" w14:textId="77777777" w:rsidR="008A0561" w:rsidRPr="00A57F80" w:rsidRDefault="008A0561">
      <w:pPr>
        <w:ind w:left="709"/>
        <w:rPr>
          <w:bCs/>
          <w:highlight w:val="yellow"/>
        </w:rPr>
      </w:pPr>
      <w:r>
        <w:rPr>
          <w:bCs/>
        </w:rPr>
        <w:t>[</w:t>
      </w:r>
      <w:r>
        <w:rPr>
          <w:b/>
          <w:i/>
          <w:iCs/>
          <w:highlight w:val="yellow"/>
        </w:rPr>
        <w:t>Valuation Cap</w:t>
      </w:r>
      <w:r>
        <w:rPr>
          <w:bCs/>
          <w:highlight w:val="yellow"/>
        </w:rPr>
        <w:t xml:space="preserve"> means $[*].</w:t>
      </w:r>
    </w:p>
    <w:p w14:paraId="3008F345" w14:textId="77777777" w:rsidR="008A0561" w:rsidRDefault="008A0561">
      <w:pPr>
        <w:ind w:left="709"/>
        <w:rPr>
          <w:bCs/>
        </w:rPr>
      </w:pPr>
      <w:r w:rsidRPr="00A57F80">
        <w:rPr>
          <w:b/>
          <w:i/>
          <w:iCs/>
          <w:highlight w:val="yellow"/>
        </w:rPr>
        <w:t>Valuation Cap Price</w:t>
      </w:r>
      <w:r w:rsidRPr="00A57F80">
        <w:rPr>
          <w:bCs/>
          <w:i/>
          <w:iCs/>
          <w:highlight w:val="yellow"/>
        </w:rPr>
        <w:t xml:space="preserve"> </w:t>
      </w:r>
      <w:r w:rsidRPr="00A57F80">
        <w:rPr>
          <w:bCs/>
          <w:highlight w:val="yellow"/>
        </w:rPr>
        <w:t>means the price per share determined by dividing the Valuation Cap by the Fully Diluted Share Capital.</w:t>
      </w:r>
      <w:r>
        <w:rPr>
          <w:bCs/>
        </w:rPr>
        <w:t xml:space="preserve">] </w:t>
      </w:r>
    </w:p>
    <w:p w14:paraId="62696911" w14:textId="77777777" w:rsidR="008A0561" w:rsidRDefault="008A0561">
      <w:pPr>
        <w:pStyle w:val="AllensHeading2"/>
      </w:pPr>
      <w:bookmarkStart w:id="7" w:name="_Toc175222478"/>
      <w:r>
        <w:t>Interpretation</w:t>
      </w:r>
      <w:bookmarkEnd w:id="7"/>
    </w:p>
    <w:p w14:paraId="00F0AA90" w14:textId="77777777" w:rsidR="008A0561" w:rsidRDefault="008A0561">
      <w:pPr>
        <w:pStyle w:val="NormalIndent"/>
      </w:pPr>
      <w:r>
        <w:t>In this agreement, the following rules of interpretation apply unless the contrary intention appears:</w:t>
      </w:r>
    </w:p>
    <w:p w14:paraId="2BCC13AE" w14:textId="77777777" w:rsidR="008A0561" w:rsidRDefault="008A0561">
      <w:pPr>
        <w:pStyle w:val="AllensHeading3"/>
      </w:pPr>
      <w:r>
        <w:rPr>
          <w:color w:val="000000"/>
        </w:rPr>
        <w:t>headings are for convenience only and do not affect the interpretation of this agreement;</w:t>
      </w:r>
    </w:p>
    <w:p w14:paraId="4F1BCAFC" w14:textId="77777777" w:rsidR="008A0561" w:rsidRDefault="008A0561">
      <w:pPr>
        <w:pStyle w:val="AllensHeading3"/>
      </w:pPr>
      <w:r>
        <w:rPr>
          <w:color w:val="000000"/>
        </w:rPr>
        <w:t>the singular includes the plural and vice versa;</w:t>
      </w:r>
    </w:p>
    <w:p w14:paraId="7847038B" w14:textId="77777777" w:rsidR="008A0561" w:rsidRDefault="008A0561">
      <w:pPr>
        <w:pStyle w:val="AllensHeading3"/>
      </w:pPr>
      <w:r>
        <w:rPr>
          <w:color w:val="000000"/>
        </w:rPr>
        <w:t>words that are gender neutral or gender specific include each gender;</w:t>
      </w:r>
    </w:p>
    <w:p w14:paraId="575FD37F" w14:textId="77777777" w:rsidR="008A0561" w:rsidRDefault="008A0561">
      <w:pPr>
        <w:pStyle w:val="AllensHeading3"/>
      </w:pPr>
      <w:r>
        <w:rPr>
          <w:color w:val="000000"/>
        </w:rPr>
        <w:t>where a word or phrase is given a particular meaning, other parts of speech and grammatical forms of that word or phrase have corresponding meanings;</w:t>
      </w:r>
    </w:p>
    <w:p w14:paraId="12418D79" w14:textId="77777777" w:rsidR="008A0561" w:rsidRDefault="008A0561">
      <w:pPr>
        <w:pStyle w:val="AllensHeading3"/>
      </w:pPr>
      <w:r>
        <w:rPr>
          <w:color w:val="000000"/>
        </w:rPr>
        <w:t>the words 'such as', 'including', 'particularly' and similar expressions are not words of limitation;</w:t>
      </w:r>
    </w:p>
    <w:p w14:paraId="77DD28BB" w14:textId="77777777" w:rsidR="008A0561" w:rsidRDefault="008A0561">
      <w:pPr>
        <w:pStyle w:val="AllensHeading3"/>
      </w:pPr>
      <w:r>
        <w:rPr>
          <w:color w:val="000000"/>
        </w:rPr>
        <w:t>a reference to:</w:t>
      </w:r>
    </w:p>
    <w:p w14:paraId="7A707C99" w14:textId="77777777" w:rsidR="008A0561" w:rsidRDefault="008A0561">
      <w:pPr>
        <w:pStyle w:val="AllensHeading4"/>
        <w:rPr>
          <w:sz w:val="18"/>
        </w:rPr>
      </w:pPr>
      <w:r>
        <w:t>a person includes a natural person, partnership, joint venture, government agency, association, corporation, trust or other body corporate;</w:t>
      </w:r>
    </w:p>
    <w:p w14:paraId="486904B9" w14:textId="77777777" w:rsidR="008A0561" w:rsidRDefault="008A0561">
      <w:pPr>
        <w:pStyle w:val="AllensHeading4"/>
        <w:rPr>
          <w:sz w:val="18"/>
        </w:rPr>
      </w:pPr>
      <w:r>
        <w:t>a thing (including but not limited to a chose in action or other right) includes a part of that thing;</w:t>
      </w:r>
    </w:p>
    <w:p w14:paraId="7FE712E2" w14:textId="77777777" w:rsidR="008A0561" w:rsidRDefault="008A0561">
      <w:pPr>
        <w:pStyle w:val="AllensHeading4"/>
        <w:rPr>
          <w:sz w:val="18"/>
        </w:rPr>
      </w:pPr>
      <w:r>
        <w:t>a party includes its agents, successors and permitted assigns;</w:t>
      </w:r>
    </w:p>
    <w:p w14:paraId="5ECC5499" w14:textId="77777777" w:rsidR="008A0561" w:rsidRDefault="008A0561">
      <w:pPr>
        <w:pStyle w:val="AllensHeading4"/>
        <w:rPr>
          <w:sz w:val="18"/>
        </w:rPr>
      </w:pPr>
      <w:r>
        <w:t>a document includes all amendments or supplements to that document;</w:t>
      </w:r>
    </w:p>
    <w:p w14:paraId="5FD64C05" w14:textId="77777777" w:rsidR="008A0561" w:rsidRDefault="008A0561">
      <w:pPr>
        <w:pStyle w:val="AllensHeading4"/>
        <w:rPr>
          <w:sz w:val="18"/>
        </w:rPr>
      </w:pPr>
      <w:r>
        <w:t>a clause, term, party, schedule or attachment is a reference to a clause or term of, or party, schedule or attachment to this agreement;</w:t>
      </w:r>
    </w:p>
    <w:p w14:paraId="3B2F3EDF" w14:textId="77777777" w:rsidR="008A0561" w:rsidRDefault="008A0561">
      <w:pPr>
        <w:pStyle w:val="AllensHeading4"/>
        <w:rPr>
          <w:sz w:val="18"/>
        </w:rPr>
      </w:pPr>
      <w:r>
        <w:t>a law includes a constitutional provision, treaty, decree, convention, statute, regulation, ordinance, by-law, judgment, rule of common law or equity and is a reference to that law as amended, consolidated or replaced;</w:t>
      </w:r>
    </w:p>
    <w:p w14:paraId="1E8BCFCC" w14:textId="77777777" w:rsidR="008A0561" w:rsidRDefault="008A0561">
      <w:pPr>
        <w:pStyle w:val="AllensHeading4"/>
        <w:rPr>
          <w:sz w:val="18"/>
        </w:rPr>
      </w:pPr>
      <w:r>
        <w:t>a statute includes any regulation, ordinance, by-law or other subordinate legislation under it;</w:t>
      </w:r>
    </w:p>
    <w:p w14:paraId="74AF9654" w14:textId="77777777" w:rsidR="008A0561" w:rsidRDefault="008A0561">
      <w:pPr>
        <w:pStyle w:val="AllensHeading4"/>
        <w:rPr>
          <w:sz w:val="18"/>
        </w:rPr>
      </w:pPr>
      <w:r>
        <w:lastRenderedPageBreak/>
        <w:t>an agreement includes an undertaking, or legally enforceable arrangement or understanding whether or not in writing; and</w:t>
      </w:r>
    </w:p>
    <w:p w14:paraId="0F2710D3" w14:textId="77777777" w:rsidR="008A0561" w:rsidRDefault="008A0561">
      <w:pPr>
        <w:pStyle w:val="AllensHeading4"/>
        <w:rPr>
          <w:sz w:val="18"/>
        </w:rPr>
      </w:pPr>
      <w:r>
        <w:t>a monetary amount is in Australian dollars and all amounts payable under or in connection with this agreement are payable in Australian dollars;</w:t>
      </w:r>
    </w:p>
    <w:p w14:paraId="68BD2F50" w14:textId="77777777" w:rsidR="008A0561" w:rsidRDefault="008A0561">
      <w:pPr>
        <w:pStyle w:val="AllensHeading3"/>
      </w:pPr>
      <w:r>
        <w:rPr>
          <w:color w:val="000000"/>
        </w:rPr>
        <w:t>no rule of construction applies to the disadvantage of a party because that party was responsible for the preparation of this agreement or any part of it;</w:t>
      </w:r>
    </w:p>
    <w:p w14:paraId="3CCD06E6" w14:textId="77777777" w:rsidR="008A0561" w:rsidRDefault="008A0561">
      <w:pPr>
        <w:pStyle w:val="AllensHeading3"/>
      </w:pPr>
      <w:r>
        <w:rPr>
          <w:color w:val="000000"/>
        </w:rPr>
        <w:t>when the day on which something must be done is not a Business Day, that thing must be done on the following Business Day; and</w:t>
      </w:r>
    </w:p>
    <w:p w14:paraId="208E828B" w14:textId="77777777" w:rsidR="008A0561" w:rsidRDefault="008A0561">
      <w:pPr>
        <w:pStyle w:val="AllensHeading3"/>
      </w:pPr>
      <w:r>
        <w:rPr>
          <w:color w:val="000000"/>
        </w:rPr>
        <w:t>if a period of time is calculated from a particular day, act or event (such as the giving of a notice), unless otherwise stated in this agreement, it is to be calculated exclusive of that day, or the day of that act or event.</w:t>
      </w:r>
    </w:p>
    <w:p w14:paraId="1632D1EF" w14:textId="77777777" w:rsidR="008A0561" w:rsidRDefault="008A0561">
      <w:pPr>
        <w:pStyle w:val="AllensHeading1"/>
        <w:rPr>
          <w:sz w:val="18"/>
        </w:rPr>
      </w:pPr>
      <w:bookmarkStart w:id="8" w:name="_Toc175222479"/>
      <w:r>
        <w:t>Agreement to invest</w:t>
      </w:r>
      <w:bookmarkEnd w:id="5"/>
      <w:bookmarkEnd w:id="8"/>
    </w:p>
    <w:p w14:paraId="36AC8395" w14:textId="77777777" w:rsidR="008A0561" w:rsidRDefault="008A0561">
      <w:pPr>
        <w:pStyle w:val="AllensHeading3"/>
      </w:pPr>
      <w:bookmarkStart w:id="9" w:name="_Ref479604327"/>
      <w:r>
        <w:rPr>
          <w:color w:val="000000"/>
        </w:rPr>
        <w:t>On payment by the Investor to the Company of the Purchase Price in immediately available funds, the Investor will have the right to receive future equity in the Company, on the terms and subject to the conditions of this agreement</w:t>
      </w:r>
      <w:bookmarkEnd w:id="9"/>
      <w:r>
        <w:rPr>
          <w:color w:val="000000"/>
        </w:rPr>
        <w:t>.</w:t>
      </w:r>
    </w:p>
    <w:p w14:paraId="1340C918" w14:textId="77777777" w:rsidR="008A0561" w:rsidRDefault="008A0561">
      <w:pPr>
        <w:pStyle w:val="AllensHeading3"/>
        <w:rPr>
          <w:sz w:val="18"/>
        </w:rPr>
      </w:pPr>
      <w:r>
        <w:rPr>
          <w:color w:val="000000"/>
        </w:rPr>
        <w:t>The Investor must pay the Purchase Price within [</w:t>
      </w:r>
      <w:r>
        <w:rPr>
          <w:color w:val="000000"/>
          <w:highlight w:val="yellow"/>
        </w:rPr>
        <w:t>two</w:t>
      </w:r>
      <w:r>
        <w:rPr>
          <w:color w:val="000000"/>
        </w:rPr>
        <w:t xml:space="preserve">] Business Days of the date </w:t>
      </w:r>
      <w:r>
        <w:t>of this agreement.</w:t>
      </w:r>
    </w:p>
    <w:p w14:paraId="376F48A7" w14:textId="77777777" w:rsidR="008A0561" w:rsidRDefault="008A0561">
      <w:pPr>
        <w:pStyle w:val="AllensHeading3"/>
      </w:pPr>
      <w:r>
        <w:rPr>
          <w:color w:val="000000"/>
        </w:rPr>
        <w:t>[</w:t>
      </w:r>
      <w:r>
        <w:rPr>
          <w:color w:val="000000"/>
          <w:highlight w:val="yellow"/>
        </w:rPr>
        <w:t>The Company agrees the Purchase Price may only be used for working capital and other business growth purposes.]</w:t>
      </w:r>
    </w:p>
    <w:p w14:paraId="43430B94" w14:textId="77777777" w:rsidR="008A0561" w:rsidRDefault="008A0561">
      <w:pPr>
        <w:pStyle w:val="AllensHeading1"/>
        <w:rPr>
          <w:sz w:val="18"/>
        </w:rPr>
      </w:pPr>
      <w:bookmarkStart w:id="10" w:name="_Ref479610467"/>
      <w:bookmarkStart w:id="11" w:name="_Toc175222480"/>
      <w:r>
        <w:t>Right to receive securities on Eligible Financing</w:t>
      </w:r>
      <w:bookmarkEnd w:id="10"/>
      <w:bookmarkEnd w:id="11"/>
    </w:p>
    <w:p w14:paraId="7E200F98" w14:textId="77777777" w:rsidR="008A0561" w:rsidRPr="00A57F80" w:rsidRDefault="008A0561">
      <w:pPr>
        <w:pStyle w:val="AllensHeading3"/>
      </w:pPr>
      <w:bookmarkStart w:id="12" w:name="_Ref479604942"/>
      <w:r>
        <w:rPr>
          <w:color w:val="000000"/>
        </w:rPr>
        <w:t>If the Company determines that entry into definitive documents relating to an Eligible Financing is imminent, it must give notice to the Investor.</w:t>
      </w:r>
    </w:p>
    <w:p w14:paraId="2F032A76" w14:textId="1C44A11B" w:rsidR="008A0561" w:rsidRDefault="008A0561">
      <w:pPr>
        <w:pStyle w:val="AllensHeading3"/>
      </w:pPr>
      <w:r>
        <w:rPr>
          <w:color w:val="000000"/>
        </w:rPr>
        <w:t xml:space="preserve">Subject to clause </w:t>
      </w:r>
      <w:r>
        <w:rPr>
          <w:color w:val="000000"/>
        </w:rPr>
        <w:fldChar w:fldCharType="begin"/>
      </w:r>
      <w:r>
        <w:rPr>
          <w:color w:val="000000"/>
        </w:rPr>
        <w:instrText xml:space="preserve"> REF _Ref63328331 \w \h </w:instrText>
      </w:r>
      <w:r>
        <w:rPr>
          <w:color w:val="000000"/>
        </w:rPr>
      </w:r>
      <w:r>
        <w:rPr>
          <w:color w:val="000000"/>
        </w:rPr>
        <w:fldChar w:fldCharType="separate"/>
      </w:r>
      <w:r w:rsidR="00E57E1B">
        <w:rPr>
          <w:color w:val="000000"/>
        </w:rPr>
        <w:t>3(c)</w:t>
      </w:r>
      <w:r>
        <w:rPr>
          <w:color w:val="000000"/>
        </w:rPr>
        <w:fldChar w:fldCharType="end"/>
      </w:r>
      <w:r>
        <w:rPr>
          <w:color w:val="000000"/>
        </w:rPr>
        <w:t>, if an Eligible Financing occurs before the Termination Date, on completion of the Eligible Financing, the Investor will automatically receive the kind of Shares issued in the Eligible Financing in accordance with the following formula:</w:t>
      </w:r>
      <w:bookmarkEnd w:id="12"/>
    </w:p>
    <w:p w14:paraId="2780CE9B" w14:textId="77777777" w:rsidR="008A0561" w:rsidRDefault="008A0561">
      <w:pPr>
        <w:ind w:left="2160"/>
        <w:jc w:val="center"/>
      </w:pPr>
      <w:bookmarkStart w:id="13" w:name="_Hlk66981663"/>
      <w:bookmarkStart w:id="14" w:name="_Hlk63322599"/>
      <w:r>
        <w:t>N = A / D</w:t>
      </w:r>
    </w:p>
    <w:p w14:paraId="1382CCB4" w14:textId="77777777" w:rsidR="008A0561" w:rsidRDefault="008A0561">
      <w:pPr>
        <w:ind w:left="720" w:firstLine="720"/>
      </w:pPr>
      <w:r>
        <w:t>where:</w:t>
      </w:r>
    </w:p>
    <w:p w14:paraId="1BF3D84E" w14:textId="77777777" w:rsidR="008A0561" w:rsidRDefault="008A0561">
      <w:pPr>
        <w:pStyle w:val="AllensHeading4"/>
        <w:numPr>
          <w:ilvl w:val="0"/>
          <w:numId w:val="0"/>
        </w:numPr>
        <w:ind w:left="2126"/>
      </w:pPr>
      <w:r>
        <w:rPr>
          <w:b/>
          <w:bCs/>
          <w:i/>
          <w:iCs/>
        </w:rPr>
        <w:t>N</w:t>
      </w:r>
      <w:r>
        <w:t xml:space="preserve"> means the number of securities the Investor will receive;</w:t>
      </w:r>
    </w:p>
    <w:p w14:paraId="74BDE3AD" w14:textId="77777777" w:rsidR="008A0561" w:rsidRDefault="008A0561">
      <w:pPr>
        <w:pStyle w:val="AllensHeading4"/>
        <w:numPr>
          <w:ilvl w:val="0"/>
          <w:numId w:val="0"/>
        </w:numPr>
        <w:ind w:left="2126"/>
      </w:pPr>
      <w:r>
        <w:rPr>
          <w:b/>
          <w:bCs/>
          <w:i/>
          <w:iCs/>
        </w:rPr>
        <w:t>A</w:t>
      </w:r>
      <w:r>
        <w:t xml:space="preserve"> means the Purchase Price; and</w:t>
      </w:r>
    </w:p>
    <w:p w14:paraId="33D45EA8" w14:textId="77777777" w:rsidR="008A0561" w:rsidRDefault="008A0561">
      <w:pPr>
        <w:pStyle w:val="AllensHeading4"/>
        <w:numPr>
          <w:ilvl w:val="0"/>
          <w:numId w:val="0"/>
        </w:numPr>
        <w:ind w:left="2126"/>
        <w:rPr>
          <w:highlight w:val="yellow"/>
        </w:rPr>
      </w:pPr>
      <w:r>
        <w:rPr>
          <w:b/>
          <w:bCs/>
          <w:i/>
          <w:iCs/>
        </w:rPr>
        <w:t>D</w:t>
      </w:r>
      <w:r>
        <w:t xml:space="preserve"> means [</w:t>
      </w:r>
      <w:r>
        <w:rPr>
          <w:i/>
          <w:iCs/>
          <w:highlight w:val="yellow"/>
        </w:rPr>
        <w:t>Option 1 – if including a Valuation Cap</w:t>
      </w:r>
      <w:r>
        <w:t>] [</w:t>
      </w:r>
      <w:r>
        <w:rPr>
          <w:highlight w:val="yellow"/>
        </w:rPr>
        <w:t>the lower of the:</w:t>
      </w:r>
    </w:p>
    <w:p w14:paraId="754021C7" w14:textId="77777777" w:rsidR="008A0561" w:rsidRDefault="008A0561">
      <w:pPr>
        <w:pStyle w:val="AllensHeading5"/>
        <w:rPr>
          <w:highlight w:val="yellow"/>
        </w:rPr>
      </w:pPr>
      <w:r>
        <w:rPr>
          <w:highlight w:val="yellow"/>
        </w:rPr>
        <w:t>Share Price multiplied by (1 minus the Discount Rate); and</w:t>
      </w:r>
    </w:p>
    <w:p w14:paraId="385CCBD3" w14:textId="77777777" w:rsidR="008A0561" w:rsidRDefault="008A0561">
      <w:pPr>
        <w:pStyle w:val="AllensHeading5"/>
      </w:pPr>
      <w:r>
        <w:rPr>
          <w:highlight w:val="yellow"/>
        </w:rPr>
        <w:t>Valuation Cap Price</w:t>
      </w:r>
      <w:r>
        <w:t xml:space="preserve">] </w:t>
      </w:r>
      <w:r>
        <w:rPr>
          <w:i/>
          <w:iCs/>
        </w:rPr>
        <w:t>OR</w:t>
      </w:r>
    </w:p>
    <w:p w14:paraId="5B04334B" w14:textId="77777777" w:rsidR="008A0561" w:rsidRDefault="008A0561">
      <w:pPr>
        <w:pStyle w:val="AllensHeading4"/>
        <w:numPr>
          <w:ilvl w:val="0"/>
          <w:numId w:val="0"/>
        </w:numPr>
        <w:ind w:left="2126"/>
      </w:pPr>
      <w:r>
        <w:t>[</w:t>
      </w:r>
      <w:r>
        <w:rPr>
          <w:i/>
          <w:iCs/>
          <w:highlight w:val="yellow"/>
        </w:rPr>
        <w:t>Option 2 – if not including a Valuation Cap</w:t>
      </w:r>
      <w:r>
        <w:t>] [</w:t>
      </w:r>
      <w:r>
        <w:rPr>
          <w:highlight w:val="yellow"/>
        </w:rPr>
        <w:t>Share Price multiplied by (1 minus the Discount Rate)</w:t>
      </w:r>
      <w:r>
        <w:t>].</w:t>
      </w:r>
    </w:p>
    <w:p w14:paraId="4B30B5B0" w14:textId="43929102" w:rsidR="008A0561" w:rsidRDefault="008A0561">
      <w:pPr>
        <w:pStyle w:val="AllensHeading3"/>
        <w:rPr>
          <w:sz w:val="18"/>
        </w:rPr>
      </w:pPr>
      <w:bookmarkStart w:id="15" w:name="_Ref480494246"/>
      <w:bookmarkStart w:id="16" w:name="_Ref479604926"/>
      <w:bookmarkEnd w:id="13"/>
      <w:bookmarkEnd w:id="14"/>
      <w:r>
        <w:rPr>
          <w:color w:val="000000"/>
        </w:rPr>
        <w:t xml:space="preserve">It is a condition to the issue of Shares under clause </w:t>
      </w:r>
      <w:r>
        <w:rPr>
          <w:color w:val="000000"/>
        </w:rPr>
        <w:fldChar w:fldCharType="begin"/>
      </w:r>
      <w:r>
        <w:rPr>
          <w:color w:val="000000"/>
        </w:rPr>
        <w:instrText xml:space="preserve"> REF _Ref479604942 \w \h </w:instrText>
      </w:r>
      <w:r>
        <w:rPr>
          <w:color w:val="000000"/>
        </w:rPr>
      </w:r>
      <w:r>
        <w:rPr>
          <w:color w:val="000000"/>
        </w:rPr>
        <w:fldChar w:fldCharType="separate"/>
      </w:r>
      <w:r w:rsidR="00E57E1B">
        <w:rPr>
          <w:color w:val="000000"/>
        </w:rPr>
        <w:t>3(a)</w:t>
      </w:r>
      <w:r>
        <w:rPr>
          <w:color w:val="000000"/>
        </w:rPr>
        <w:fldChar w:fldCharType="end"/>
      </w:r>
      <w:r>
        <w:rPr>
          <w:color w:val="000000"/>
        </w:rPr>
        <w:t xml:space="preserve"> that the Investor execute and deliver to the Company either the shareholders agreement of the Company to be entered into in connection with the Eligible Financing or a deed of accession to the Company's existing shareholders' agreement (if any, as applicable), provided that</w:t>
      </w:r>
      <w:bookmarkEnd w:id="15"/>
      <w:r>
        <w:t xml:space="preserve"> </w:t>
      </w:r>
      <w:bookmarkStart w:id="17" w:name="_Ref63328331"/>
      <w:r>
        <w:t>such document does not impose more onerous obligations on the Investor as compared to other purchasers of Shares in the Eligible Financing.</w:t>
      </w:r>
      <w:bookmarkEnd w:id="17"/>
    </w:p>
    <w:p w14:paraId="26B6FAEE" w14:textId="77777777" w:rsidR="008A0561" w:rsidRDefault="008A0561">
      <w:pPr>
        <w:pStyle w:val="AllensHeading3"/>
        <w:rPr>
          <w:sz w:val="18"/>
        </w:rPr>
      </w:pPr>
      <w:r>
        <w:lastRenderedPageBreak/>
        <w:t>The Investor agrees to be bound by the constitution of the Company upon the issue of Shares.</w:t>
      </w:r>
    </w:p>
    <w:p w14:paraId="54C535B5" w14:textId="521BF0F6" w:rsidR="008A0561" w:rsidRDefault="008A0561">
      <w:pPr>
        <w:pStyle w:val="AllensHeading3"/>
        <w:rPr>
          <w:sz w:val="18"/>
        </w:rPr>
      </w:pPr>
      <w:r>
        <w:t xml:space="preserve">This agreement serves as an application by the Subscriber for the allotment of Shares in accordance with this clause </w:t>
      </w:r>
      <w:r>
        <w:fldChar w:fldCharType="begin"/>
      </w:r>
      <w:r>
        <w:instrText xml:space="preserve"> REF _Ref479610467 \r \h </w:instrText>
      </w:r>
      <w:r>
        <w:fldChar w:fldCharType="separate"/>
      </w:r>
      <w:r w:rsidR="00E57E1B">
        <w:t>3</w:t>
      </w:r>
      <w:r>
        <w:fldChar w:fldCharType="end"/>
      </w:r>
      <w:r>
        <w:t>.</w:t>
      </w:r>
    </w:p>
    <w:p w14:paraId="2CAA31E7" w14:textId="08CEE701" w:rsidR="008A0561" w:rsidRDefault="008A0561">
      <w:pPr>
        <w:pStyle w:val="AllensHeading3"/>
      </w:pPr>
      <w:bookmarkStart w:id="18" w:name="_Ref480494248"/>
      <w:bookmarkEnd w:id="16"/>
      <w:r>
        <w:rPr>
          <w:color w:val="000000"/>
        </w:rPr>
        <w:t xml:space="preserve">Each Share issued by virtue of conversion pursuant to clause </w:t>
      </w:r>
      <w:r>
        <w:rPr>
          <w:color w:val="000000"/>
        </w:rPr>
        <w:fldChar w:fldCharType="begin"/>
      </w:r>
      <w:r>
        <w:rPr>
          <w:color w:val="000000"/>
        </w:rPr>
        <w:instrText xml:space="preserve"> REF _Ref479604942 \w \h </w:instrText>
      </w:r>
      <w:r>
        <w:rPr>
          <w:color w:val="000000"/>
        </w:rPr>
      </w:r>
      <w:r>
        <w:rPr>
          <w:color w:val="000000"/>
        </w:rPr>
        <w:fldChar w:fldCharType="separate"/>
      </w:r>
      <w:r w:rsidR="00E57E1B">
        <w:rPr>
          <w:color w:val="000000"/>
        </w:rPr>
        <w:t>3(a)</w:t>
      </w:r>
      <w:r>
        <w:rPr>
          <w:color w:val="000000"/>
        </w:rPr>
        <w:fldChar w:fldCharType="end"/>
      </w:r>
      <w:r>
        <w:rPr>
          <w:color w:val="000000"/>
        </w:rPr>
        <w:t xml:space="preserve"> must be issued fully paid, be free from any Security Interest and other rights or interests of third parties and will rank </w:t>
      </w:r>
      <w:proofErr w:type="spellStart"/>
      <w:r>
        <w:rPr>
          <w:color w:val="000000"/>
        </w:rPr>
        <w:t>pari</w:t>
      </w:r>
      <w:proofErr w:type="spellEnd"/>
      <w:r>
        <w:rPr>
          <w:color w:val="000000"/>
        </w:rPr>
        <w:t xml:space="preserve"> passu with and be entitled to all of the same rights that attach to the Shares issued in the Eligible Financing.</w:t>
      </w:r>
      <w:bookmarkEnd w:id="18"/>
    </w:p>
    <w:p w14:paraId="184939E5" w14:textId="3AAF15E7" w:rsidR="008A0561" w:rsidRDefault="008A0561">
      <w:pPr>
        <w:pStyle w:val="AllensHeading3"/>
      </w:pPr>
      <w:bookmarkStart w:id="19" w:name="_Ref480494251"/>
      <w:r>
        <w:rPr>
          <w:color w:val="000000"/>
        </w:rPr>
        <w:t xml:space="preserve">A fraction of a security will not be issued on conversion. Accordingly, the Company will issue the number of securities determined in accordance with clause </w:t>
      </w:r>
      <w:r>
        <w:rPr>
          <w:color w:val="000000"/>
        </w:rPr>
        <w:fldChar w:fldCharType="begin"/>
      </w:r>
      <w:r>
        <w:rPr>
          <w:color w:val="000000"/>
        </w:rPr>
        <w:instrText xml:space="preserve"> REF _Ref479604942 \w \h </w:instrText>
      </w:r>
      <w:r>
        <w:rPr>
          <w:color w:val="000000"/>
        </w:rPr>
      </w:r>
      <w:r>
        <w:rPr>
          <w:color w:val="000000"/>
        </w:rPr>
        <w:fldChar w:fldCharType="separate"/>
      </w:r>
      <w:r w:rsidR="00E57E1B">
        <w:rPr>
          <w:color w:val="000000"/>
        </w:rPr>
        <w:t>3(a)</w:t>
      </w:r>
      <w:r>
        <w:rPr>
          <w:color w:val="000000"/>
        </w:rPr>
        <w:fldChar w:fldCharType="end"/>
      </w:r>
      <w:r>
        <w:rPr>
          <w:color w:val="000000"/>
        </w:rPr>
        <w:t>, rounded to the nearest whole number.</w:t>
      </w:r>
      <w:bookmarkEnd w:id="19"/>
    </w:p>
    <w:p w14:paraId="4C3ECAE6" w14:textId="77777777" w:rsidR="008A0561" w:rsidRDefault="008A0561">
      <w:pPr>
        <w:pStyle w:val="AllensHeading1"/>
      </w:pPr>
      <w:bookmarkStart w:id="20" w:name="_Ref479610468"/>
      <w:bookmarkStart w:id="21" w:name="_Toc175222481"/>
      <w:r>
        <w:t>Right to receive equity securities or cash on Exit Event</w:t>
      </w:r>
      <w:bookmarkEnd w:id="20"/>
      <w:bookmarkEnd w:id="21"/>
    </w:p>
    <w:p w14:paraId="1FFAC90D" w14:textId="4692D55B" w:rsidR="008A0561" w:rsidRPr="00A57F80" w:rsidRDefault="008A0561">
      <w:pPr>
        <w:pStyle w:val="AllensHeading3"/>
      </w:pPr>
      <w:bookmarkStart w:id="22" w:name="_Ref479605010"/>
      <w:r>
        <w:rPr>
          <w:color w:val="000000"/>
        </w:rPr>
        <w:t xml:space="preserve">Subject to clause </w:t>
      </w:r>
      <w:r>
        <w:rPr>
          <w:color w:val="000000"/>
        </w:rPr>
        <w:fldChar w:fldCharType="begin"/>
      </w:r>
      <w:r>
        <w:rPr>
          <w:color w:val="000000"/>
        </w:rPr>
        <w:instrText xml:space="preserve"> REF _Ref479604980 \w \h  \* MERGEFORMAT </w:instrText>
      </w:r>
      <w:r>
        <w:rPr>
          <w:color w:val="000000"/>
        </w:rPr>
      </w:r>
      <w:r>
        <w:rPr>
          <w:color w:val="000000"/>
        </w:rPr>
        <w:fldChar w:fldCharType="separate"/>
      </w:r>
      <w:r w:rsidR="00E57E1B">
        <w:rPr>
          <w:color w:val="000000"/>
        </w:rPr>
        <w:t>4(c)</w:t>
      </w:r>
      <w:r>
        <w:rPr>
          <w:color w:val="000000"/>
        </w:rPr>
        <w:fldChar w:fldCharType="end"/>
      </w:r>
      <w:r>
        <w:rPr>
          <w:color w:val="000000"/>
        </w:rPr>
        <w:t xml:space="preserve">, if prior to the Termination Date the Company determines that </w:t>
      </w:r>
      <w:proofErr w:type="spellStart"/>
      <w:r>
        <w:rPr>
          <w:color w:val="000000"/>
        </w:rPr>
        <w:t>a</w:t>
      </w:r>
      <w:proofErr w:type="spellEnd"/>
      <w:r>
        <w:rPr>
          <w:color w:val="000000"/>
        </w:rPr>
        <w:t xml:space="preserve"> Exit Event is imminent, it must give notice to the Investor.</w:t>
      </w:r>
    </w:p>
    <w:p w14:paraId="72FFB5FC" w14:textId="77777777" w:rsidR="008A0561" w:rsidRPr="00A57F80" w:rsidRDefault="008A0561" w:rsidP="00A57F80">
      <w:pPr>
        <w:pStyle w:val="AllensHeading3"/>
        <w:numPr>
          <w:ilvl w:val="0"/>
          <w:numId w:val="0"/>
        </w:numPr>
        <w:ind w:left="1418"/>
      </w:pPr>
      <w:r>
        <w:rPr>
          <w:noProof/>
          <w:lang w:eastAsia="en-AU"/>
        </w:rPr>
        <mc:AlternateContent>
          <mc:Choice Requires="wps">
            <w:drawing>
              <wp:inline distT="0" distB="0" distL="0" distR="0" wp14:anchorId="7545AB71" wp14:editId="0CCF0E8E">
                <wp:extent cx="5380893" cy="1354016"/>
                <wp:effectExtent l="0" t="0" r="0" b="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80893" cy="1354016"/>
                        </a:xfrm>
                        <a:prstGeom prst="rect">
                          <a:avLst/>
                        </a:prstGeom>
                        <a:solidFill>
                          <a:srgbClr val="DAE0E4"/>
                        </a:solidFill>
                        <a:ln w="6350">
                          <a:noFill/>
                        </a:ln>
                        <a:effectLst/>
                      </wps:spPr>
                      <wps:txbx>
                        <w:txbxContent>
                          <w:p w14:paraId="044CB605" w14:textId="77777777" w:rsidR="008A0561" w:rsidRPr="004E5DD7" w:rsidRDefault="008A0561">
                            <w:pPr>
                              <w:rPr>
                                <w:b/>
                                <w:color w:val="0074BF"/>
                              </w:rPr>
                            </w:pPr>
                            <w:r w:rsidRPr="004E5DD7">
                              <w:rPr>
                                <w:b/>
                                <w:color w:val="0074BF"/>
                              </w:rPr>
                              <w:t>Guidance note</w:t>
                            </w:r>
                          </w:p>
                          <w:p w14:paraId="0DEF9AA9" w14:textId="77777777" w:rsidR="008A0561" w:rsidRPr="00A57F80" w:rsidRDefault="008A0561">
                            <w:pPr>
                              <w:rPr>
                                <w:bCs/>
                                <w:color w:val="000000"/>
                              </w:rPr>
                            </w:pPr>
                            <w:r w:rsidRPr="008252BB">
                              <w:rPr>
                                <w:bCs/>
                              </w:rPr>
                              <w:t>Note that under the terms of this SAFE, the Investor may elect to either be cashed out upon an exit (ie. receive their investment amount back) or convert their investment amount into shares (ie. to receive a return on their investment). You can select whether the Investor should receive the highest ranking shares on issue at the time of the Exit Event, or ordinary shares</w:t>
                            </w:r>
                            <w:r>
                              <w:rPr>
                                <w:bCs/>
                                <w:color w:val="0074BF" w:themeColor="text2"/>
                              </w:rPr>
                              <w:t>.</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545AB71" id="Text Box 11" o:spid="_x0000_s1033" type="#_x0000_t202" style="width:423.7pt;height:10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" fillcolor="#dae0e4" stroked="f" strokeweight=".5pt">
                <v:textbox inset=",0">
                  <w:txbxContent>
                    <w:p w14:paraId="044CB605" w14:textId="77777777" w:rsidR="008A0561" w:rsidRPr="004E5DD7" w:rsidRDefault="008A0561">
                      <w:pPr>
                        <w:rPr>
                          <w:b/>
                          <w:color w:val="0074BF"/>
                        </w:rPr>
                      </w:pPr>
                      <w:r w:rsidRPr="004E5DD7">
                        <w:rPr>
                          <w:b/>
                          <w:color w:val="0074BF"/>
                        </w:rPr>
                        <w:t>Guidance note</w:t>
                      </w:r>
                    </w:p>
                    <w:p w14:paraId="0DEF9AA9" w14:textId="77777777" w:rsidR="008A0561" w:rsidRPr="00A57F80" w:rsidRDefault="008A0561">
                      <w:pPr>
                        <w:rPr>
                          <w:bCs/>
                          <w:color w:val="000000"/>
                        </w:rPr>
                      </w:pPr>
                      <w:r w:rsidRPr="008252BB">
                        <w:rPr>
                          <w:bCs/>
                        </w:rPr>
                        <w:t>Note that under the terms of this SAFE, the Investor may elect to either be cashed out upon an exit (ie. receive their investment amount back) or convert their investment amount into shares (ie. to receive a return on their investment). You can select whether the Investor should receive the highest ranking shares on issue at the time of the Exit Event, or ordinary shares</w:t>
                      </w:r>
                      <w:r>
                        <w:rPr>
                          <w:bCs/>
                          <w:color w:val="0074BF" w:themeColor="text2"/>
                        </w:rPr>
                        <w:t>.</w:t>
                      </w:r>
                    </w:p>
                  </w:txbxContent>
                </v:textbox>
                <w10:anchorlock/>
              </v:shape>
            </w:pict>
          </mc:Fallback>
        </mc:AlternateContent>
      </w:r>
    </w:p>
    <w:p w14:paraId="56F58293" w14:textId="77777777" w:rsidR="008A0561" w:rsidRDefault="008A0561">
      <w:pPr>
        <w:pStyle w:val="AllensHeading3"/>
      </w:pPr>
      <w:bookmarkStart w:id="23" w:name="_Ref175219634"/>
      <w:r>
        <w:rPr>
          <w:color w:val="000000"/>
        </w:rPr>
        <w:t>The Investor may, within 2 Business Days of receipt of such notice, elect to either:</w:t>
      </w:r>
      <w:bookmarkEnd w:id="23"/>
    </w:p>
    <w:p w14:paraId="239F2F53" w14:textId="77777777" w:rsidR="008A0561" w:rsidRDefault="008A0561">
      <w:pPr>
        <w:pStyle w:val="AllensHeading4"/>
      </w:pPr>
      <w:r>
        <w:t>receive, upon completion of the Exit Event occurring, a cash payment equal to the Purchase Price; or</w:t>
      </w:r>
    </w:p>
    <w:p w14:paraId="2CE7488A" w14:textId="77777777" w:rsidR="008A0561" w:rsidRDefault="008A0561">
      <w:pPr>
        <w:pStyle w:val="AllensHeading4"/>
      </w:pPr>
      <w:r>
        <w:t>receive, immediately prior to completion of the Exit Event occurring, a number of [</w:t>
      </w:r>
      <w:r w:rsidRPr="00A57F80">
        <w:rPr>
          <w:highlight w:val="yellow"/>
        </w:rPr>
        <w:t>ordinary shares of the Company | Senior Ranking Shares</w:t>
      </w:r>
      <w:r>
        <w:t>] calculated in accordance with the following formula:</w:t>
      </w:r>
      <w:bookmarkEnd w:id="22"/>
    </w:p>
    <w:p w14:paraId="3FD69140" w14:textId="77777777" w:rsidR="008A0561" w:rsidRDefault="008A0561">
      <w:pPr>
        <w:ind w:left="2160"/>
        <w:jc w:val="center"/>
      </w:pPr>
      <w:r>
        <w:t>N = A / D</w:t>
      </w:r>
    </w:p>
    <w:p w14:paraId="258F2A28" w14:textId="77777777" w:rsidR="008A0561" w:rsidRDefault="008A0561">
      <w:pPr>
        <w:ind w:left="720" w:firstLine="720"/>
      </w:pPr>
      <w:r>
        <w:t>where:</w:t>
      </w:r>
    </w:p>
    <w:p w14:paraId="0050F536" w14:textId="77777777" w:rsidR="008A0561" w:rsidRDefault="008A0561">
      <w:pPr>
        <w:pStyle w:val="AllensHeading4"/>
        <w:numPr>
          <w:ilvl w:val="0"/>
          <w:numId w:val="0"/>
        </w:numPr>
        <w:ind w:left="2126"/>
      </w:pPr>
      <w:r>
        <w:rPr>
          <w:b/>
          <w:bCs/>
          <w:i/>
          <w:iCs/>
        </w:rPr>
        <w:t>N</w:t>
      </w:r>
      <w:r>
        <w:t xml:space="preserve"> means the number of [</w:t>
      </w:r>
      <w:r w:rsidRPr="00A57F80">
        <w:rPr>
          <w:highlight w:val="yellow"/>
        </w:rPr>
        <w:t>ordinary shares | Senior Ranking Shares</w:t>
      </w:r>
      <w:r>
        <w:t>] the Investor will receive;</w:t>
      </w:r>
    </w:p>
    <w:p w14:paraId="3CDBC054" w14:textId="77777777" w:rsidR="008A0561" w:rsidRDefault="008A0561">
      <w:pPr>
        <w:pStyle w:val="AllensHeading4"/>
        <w:numPr>
          <w:ilvl w:val="0"/>
          <w:numId w:val="0"/>
        </w:numPr>
        <w:ind w:left="2126"/>
      </w:pPr>
      <w:r>
        <w:rPr>
          <w:b/>
          <w:bCs/>
          <w:i/>
          <w:iCs/>
        </w:rPr>
        <w:t>A</w:t>
      </w:r>
      <w:r>
        <w:t xml:space="preserve"> means the Purchase Price; and</w:t>
      </w:r>
    </w:p>
    <w:p w14:paraId="556E3AB2" w14:textId="77777777" w:rsidR="008A0561" w:rsidRDefault="008A0561">
      <w:pPr>
        <w:pStyle w:val="AllensHeading4"/>
        <w:numPr>
          <w:ilvl w:val="0"/>
          <w:numId w:val="0"/>
        </w:numPr>
        <w:ind w:left="2126"/>
        <w:rPr>
          <w:highlight w:val="yellow"/>
        </w:rPr>
      </w:pPr>
      <w:r>
        <w:rPr>
          <w:b/>
          <w:bCs/>
          <w:i/>
          <w:iCs/>
        </w:rPr>
        <w:t>D</w:t>
      </w:r>
      <w:r>
        <w:t xml:space="preserve"> means [</w:t>
      </w:r>
      <w:r>
        <w:rPr>
          <w:i/>
          <w:iCs/>
          <w:highlight w:val="yellow"/>
        </w:rPr>
        <w:t>Option 1 – if including a Valuation Cap</w:t>
      </w:r>
      <w:r>
        <w:t>] [</w:t>
      </w:r>
      <w:r>
        <w:rPr>
          <w:highlight w:val="yellow"/>
        </w:rPr>
        <w:t>the lower of the:</w:t>
      </w:r>
    </w:p>
    <w:p w14:paraId="00CEA146" w14:textId="77777777" w:rsidR="008A0561" w:rsidRDefault="008A0561">
      <w:pPr>
        <w:pStyle w:val="AllensHeading5"/>
        <w:rPr>
          <w:highlight w:val="yellow"/>
        </w:rPr>
      </w:pPr>
      <w:r>
        <w:rPr>
          <w:highlight w:val="yellow"/>
        </w:rPr>
        <w:t>Exit Event Price multiplied by (1 minus the Discount Rate); and</w:t>
      </w:r>
    </w:p>
    <w:p w14:paraId="120DAF68" w14:textId="77777777" w:rsidR="008A0561" w:rsidRDefault="008A0561">
      <w:pPr>
        <w:pStyle w:val="AllensHeading5"/>
      </w:pPr>
      <w:r>
        <w:rPr>
          <w:highlight w:val="yellow"/>
        </w:rPr>
        <w:t>Valuation Cap Price</w:t>
      </w:r>
      <w:r>
        <w:t xml:space="preserve">] </w:t>
      </w:r>
      <w:r>
        <w:rPr>
          <w:i/>
          <w:iCs/>
        </w:rPr>
        <w:t>OR</w:t>
      </w:r>
    </w:p>
    <w:p w14:paraId="320EEC5E" w14:textId="77777777" w:rsidR="008A0561" w:rsidRDefault="008A0561">
      <w:pPr>
        <w:pStyle w:val="AllensHeading4"/>
        <w:numPr>
          <w:ilvl w:val="0"/>
          <w:numId w:val="0"/>
        </w:numPr>
        <w:ind w:left="2126"/>
      </w:pPr>
      <w:r>
        <w:t>[</w:t>
      </w:r>
      <w:r>
        <w:rPr>
          <w:i/>
          <w:iCs/>
          <w:highlight w:val="yellow"/>
        </w:rPr>
        <w:t>Option 2 – if not including a Valuation Cap</w:t>
      </w:r>
      <w:r>
        <w:t>] [</w:t>
      </w:r>
      <w:r>
        <w:rPr>
          <w:highlight w:val="yellow"/>
        </w:rPr>
        <w:t>Exit Event Price multiplied by (1 minus the Discount Rate)</w:t>
      </w:r>
      <w:r>
        <w:t>].</w:t>
      </w:r>
    </w:p>
    <w:p w14:paraId="018EB159" w14:textId="1F08437C" w:rsidR="008A0561" w:rsidRDefault="008A0561">
      <w:pPr>
        <w:pStyle w:val="AllensHeading3"/>
      </w:pPr>
      <w:bookmarkStart w:id="24" w:name="_Ref479604980"/>
      <w:r>
        <w:rPr>
          <w:color w:val="000000"/>
        </w:rPr>
        <w:t xml:space="preserve">It is a condition to the issue of equity securities under clause </w:t>
      </w:r>
      <w:r>
        <w:rPr>
          <w:color w:val="000000"/>
        </w:rPr>
        <w:fldChar w:fldCharType="begin"/>
      </w:r>
      <w:r>
        <w:rPr>
          <w:color w:val="000000"/>
        </w:rPr>
        <w:instrText xml:space="preserve"> REF _Ref479605010 \w \h  \* MERGEFORMAT </w:instrText>
      </w:r>
      <w:r>
        <w:rPr>
          <w:color w:val="000000"/>
        </w:rPr>
      </w:r>
      <w:r>
        <w:rPr>
          <w:color w:val="000000"/>
        </w:rPr>
        <w:fldChar w:fldCharType="separate"/>
      </w:r>
      <w:r w:rsidR="00E57E1B">
        <w:rPr>
          <w:color w:val="000000"/>
        </w:rPr>
        <w:t>4(a)</w:t>
      </w:r>
      <w:r>
        <w:rPr>
          <w:color w:val="000000"/>
        </w:rPr>
        <w:fldChar w:fldCharType="end"/>
      </w:r>
      <w:r>
        <w:rPr>
          <w:color w:val="000000"/>
        </w:rPr>
        <w:t xml:space="preserve"> that:</w:t>
      </w:r>
    </w:p>
    <w:p w14:paraId="5A366155" w14:textId="77777777" w:rsidR="008A0561" w:rsidRDefault="008A0561">
      <w:pPr>
        <w:pStyle w:val="AllensHeading4"/>
      </w:pPr>
      <w:r>
        <w:t xml:space="preserve">the Investor has executed and delivered to the Company all transaction documents related to the Exit Event that are executed and delivered by other holders of Shares of the Company, provided that such document does not </w:t>
      </w:r>
      <w:r>
        <w:lastRenderedPageBreak/>
        <w:t>impose more onerous obligations on the Investor as compared to other holders of Shares in the Company; and</w:t>
      </w:r>
    </w:p>
    <w:p w14:paraId="7340F2B3" w14:textId="77777777" w:rsidR="008A0561" w:rsidRDefault="008A0561">
      <w:pPr>
        <w:pStyle w:val="AllensHeading4"/>
      </w:pPr>
      <w:r>
        <w:t>completion of the Exit Event occurs.</w:t>
      </w:r>
      <w:bookmarkEnd w:id="24"/>
    </w:p>
    <w:p w14:paraId="1DABB18B" w14:textId="77777777" w:rsidR="008A0561" w:rsidRDefault="008A0561">
      <w:pPr>
        <w:pStyle w:val="AllensHeading3"/>
        <w:rPr>
          <w:sz w:val="18"/>
        </w:rPr>
      </w:pPr>
      <w:r>
        <w:t>The Investor agrees to be bound by the constitution of the Company upon the issue of equity securities.</w:t>
      </w:r>
    </w:p>
    <w:p w14:paraId="5EC6E65B" w14:textId="7D93B72C" w:rsidR="008A0561" w:rsidRDefault="008A0561">
      <w:pPr>
        <w:pStyle w:val="AllensHeading3"/>
        <w:rPr>
          <w:sz w:val="18"/>
        </w:rPr>
      </w:pPr>
      <w:r>
        <w:t xml:space="preserve">This agreement serves as an application by the Subscriber for the allotment of equity securities in accordance with this clause </w:t>
      </w:r>
      <w:r>
        <w:fldChar w:fldCharType="begin"/>
      </w:r>
      <w:r>
        <w:instrText xml:space="preserve"> REF _Ref479610468 \r \h </w:instrText>
      </w:r>
      <w:r>
        <w:fldChar w:fldCharType="separate"/>
      </w:r>
      <w:r w:rsidR="00E57E1B">
        <w:t>4</w:t>
      </w:r>
      <w:r>
        <w:fldChar w:fldCharType="end"/>
      </w:r>
      <w:r>
        <w:t>.</w:t>
      </w:r>
    </w:p>
    <w:p w14:paraId="0F800821" w14:textId="08C116CF" w:rsidR="008A0561" w:rsidRDefault="008A0561">
      <w:pPr>
        <w:pStyle w:val="AllensHeading3"/>
      </w:pPr>
      <w:r>
        <w:rPr>
          <w:color w:val="000000"/>
        </w:rPr>
        <w:t xml:space="preserve">Each security issued by virtue of conversion pursuant to clause </w:t>
      </w:r>
      <w:r>
        <w:rPr>
          <w:color w:val="000000"/>
        </w:rPr>
        <w:fldChar w:fldCharType="begin"/>
      </w:r>
      <w:r>
        <w:rPr>
          <w:color w:val="000000"/>
        </w:rPr>
        <w:instrText xml:space="preserve"> REF _Ref479605010 \w \h  \* MERGEFORMAT </w:instrText>
      </w:r>
      <w:r>
        <w:rPr>
          <w:color w:val="000000"/>
        </w:rPr>
      </w:r>
      <w:r>
        <w:rPr>
          <w:color w:val="000000"/>
        </w:rPr>
        <w:fldChar w:fldCharType="separate"/>
      </w:r>
      <w:r w:rsidR="00E57E1B">
        <w:rPr>
          <w:color w:val="000000"/>
        </w:rPr>
        <w:t>4(a)</w:t>
      </w:r>
      <w:r>
        <w:rPr>
          <w:color w:val="000000"/>
        </w:rPr>
        <w:fldChar w:fldCharType="end"/>
      </w:r>
      <w:r>
        <w:rPr>
          <w:color w:val="000000"/>
        </w:rPr>
        <w:t xml:space="preserve"> must be issued fully paid, be free from any Security Interest and other rights or interests of third parties and will rank </w:t>
      </w:r>
      <w:proofErr w:type="spellStart"/>
      <w:r>
        <w:rPr>
          <w:color w:val="000000"/>
        </w:rPr>
        <w:t>pari</w:t>
      </w:r>
      <w:proofErr w:type="spellEnd"/>
      <w:r>
        <w:rPr>
          <w:color w:val="000000"/>
        </w:rPr>
        <w:t xml:space="preserve"> passu with and be entitled to all of the same rights that attach to other [</w:t>
      </w:r>
      <w:r w:rsidRPr="00A57F80">
        <w:rPr>
          <w:color w:val="000000"/>
          <w:highlight w:val="yellow"/>
        </w:rPr>
        <w:t>ordinary shares in the capital of the Company | Senior Ranking Shares</w:t>
      </w:r>
      <w:r>
        <w:rPr>
          <w:color w:val="000000"/>
        </w:rPr>
        <w:t>].</w:t>
      </w:r>
    </w:p>
    <w:p w14:paraId="3DC49003" w14:textId="4CE08BA6" w:rsidR="008A0561" w:rsidRDefault="008A0561">
      <w:pPr>
        <w:pStyle w:val="AllensHeading3"/>
      </w:pPr>
      <w:r>
        <w:rPr>
          <w:color w:val="000000"/>
        </w:rPr>
        <w:t xml:space="preserve">A fraction of a security will not be issued on conversion. Accordingly, the Company will issue the number of securities determined in accordance with clause </w:t>
      </w:r>
      <w:r>
        <w:rPr>
          <w:color w:val="000000"/>
        </w:rPr>
        <w:fldChar w:fldCharType="begin"/>
      </w:r>
      <w:r>
        <w:rPr>
          <w:color w:val="000000"/>
        </w:rPr>
        <w:instrText xml:space="preserve"> REF _Ref479605010 \w \h  \* MERGEFORMAT </w:instrText>
      </w:r>
      <w:r>
        <w:rPr>
          <w:color w:val="000000"/>
        </w:rPr>
      </w:r>
      <w:r>
        <w:rPr>
          <w:color w:val="000000"/>
        </w:rPr>
        <w:fldChar w:fldCharType="separate"/>
      </w:r>
      <w:r w:rsidR="00E57E1B">
        <w:rPr>
          <w:color w:val="000000"/>
        </w:rPr>
        <w:t>4(a)</w:t>
      </w:r>
      <w:r>
        <w:rPr>
          <w:color w:val="000000"/>
        </w:rPr>
        <w:fldChar w:fldCharType="end"/>
      </w:r>
      <w:r>
        <w:rPr>
          <w:color w:val="000000"/>
        </w:rPr>
        <w:t>, rounded to the nearest whole number.</w:t>
      </w:r>
    </w:p>
    <w:p w14:paraId="38D59B82" w14:textId="77777777" w:rsidR="008A0561" w:rsidRDefault="008A0561">
      <w:pPr>
        <w:pStyle w:val="AllensHeading1"/>
      </w:pPr>
      <w:bookmarkStart w:id="25" w:name="_Ref67498559"/>
      <w:bookmarkStart w:id="26" w:name="_Toc175222482"/>
      <w:r>
        <w:t>Insolvency Event</w:t>
      </w:r>
      <w:bookmarkEnd w:id="25"/>
      <w:bookmarkEnd w:id="26"/>
    </w:p>
    <w:p w14:paraId="75BB8A96" w14:textId="77777777" w:rsidR="008A0561" w:rsidRDefault="008A0561">
      <w:pPr>
        <w:pStyle w:val="AllensHeading3"/>
      </w:pPr>
      <w:bookmarkStart w:id="27" w:name="_Ref479605040"/>
      <w:r>
        <w:t>If there is an Insolvency Event in respect of the Company before the Termination Date, the Company will give written notice to the Investor promptly after the Company becomes aware that an Insolvency Event has occurred, giving reasonable details of that event.</w:t>
      </w:r>
    </w:p>
    <w:p w14:paraId="36C09DD2" w14:textId="77777777" w:rsidR="008A0561" w:rsidRDefault="008A0561" w:rsidP="00A57F80">
      <w:pPr>
        <w:pStyle w:val="AllensHeading3"/>
      </w:pPr>
      <w:r>
        <w:t>Upon the occurrence of an Insolvency Event before the Termination Date, the Purchase Price will:</w:t>
      </w:r>
    </w:p>
    <w:p w14:paraId="1673488C" w14:textId="77777777" w:rsidR="008A0561" w:rsidRDefault="008A0561" w:rsidP="00A57F80">
      <w:pPr>
        <w:pStyle w:val="AllensHeading4"/>
      </w:pPr>
      <w:r>
        <w:t>become due and payable by the Company to the Investor immediately prior to the completion of the liquidation, dissolution or winding up; and</w:t>
      </w:r>
    </w:p>
    <w:p w14:paraId="5FB2F2BB" w14:textId="77777777" w:rsidR="008A0561" w:rsidRDefault="008A0561" w:rsidP="00A57F80">
      <w:pPr>
        <w:pStyle w:val="AllensHeading4"/>
      </w:pPr>
      <w:r>
        <w:t>rank equally with all other unsecured debt of the Company.</w:t>
      </w:r>
      <w:bookmarkEnd w:id="27"/>
    </w:p>
    <w:p w14:paraId="6F16E1E6" w14:textId="77777777" w:rsidR="008A0561" w:rsidRDefault="008A0561">
      <w:pPr>
        <w:pStyle w:val="AllensHeading1"/>
      </w:pPr>
      <w:bookmarkStart w:id="28" w:name="_Toc63327334"/>
      <w:bookmarkStart w:id="29" w:name="_Toc63328482"/>
      <w:bookmarkStart w:id="30" w:name="_Toc63328538"/>
      <w:bookmarkStart w:id="31" w:name="_Toc63328593"/>
      <w:bookmarkStart w:id="32" w:name="_Toc63327335"/>
      <w:bookmarkStart w:id="33" w:name="_Toc63328483"/>
      <w:bookmarkStart w:id="34" w:name="_Toc63328539"/>
      <w:bookmarkStart w:id="35" w:name="_Toc63328594"/>
      <w:bookmarkStart w:id="36" w:name="_Toc63327336"/>
      <w:bookmarkStart w:id="37" w:name="_Toc63328484"/>
      <w:bookmarkStart w:id="38" w:name="_Toc63328540"/>
      <w:bookmarkStart w:id="39" w:name="_Toc63328595"/>
      <w:bookmarkStart w:id="40" w:name="_Toc63327337"/>
      <w:bookmarkStart w:id="41" w:name="_Toc63328485"/>
      <w:bookmarkStart w:id="42" w:name="_Toc63328541"/>
      <w:bookmarkStart w:id="43" w:name="_Toc63328596"/>
      <w:bookmarkStart w:id="44" w:name="_Toc175222483"/>
      <w:bookmarkStart w:id="45" w:name="_Ref480495742"/>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r>
        <w:t>Termination</w:t>
      </w:r>
      <w:bookmarkEnd w:id="44"/>
    </w:p>
    <w:p w14:paraId="5BE518F5" w14:textId="77777777" w:rsidR="008A0561" w:rsidRDefault="008A0561">
      <w:pPr>
        <w:pStyle w:val="NormalIndent"/>
      </w:pPr>
      <w:r>
        <w:t>This agreement will terminate on the Termination Date. Termination of this agreement will not affect any provision of this agreement which is expressed to come into effect on, or to continue in effect after, that termination.</w:t>
      </w:r>
    </w:p>
    <w:p w14:paraId="7EFB5820" w14:textId="77777777" w:rsidR="008A0561" w:rsidRDefault="008A0561">
      <w:pPr>
        <w:pStyle w:val="AllensHeading1"/>
      </w:pPr>
      <w:bookmarkStart w:id="46" w:name="_Toc63327352"/>
      <w:bookmarkStart w:id="47" w:name="_Toc63328500"/>
      <w:bookmarkStart w:id="48" w:name="_Toc63328556"/>
      <w:bookmarkStart w:id="49" w:name="_Toc63328611"/>
      <w:bookmarkStart w:id="50" w:name="_Toc63327353"/>
      <w:bookmarkStart w:id="51" w:name="_Toc63328501"/>
      <w:bookmarkStart w:id="52" w:name="_Toc63328557"/>
      <w:bookmarkStart w:id="53" w:name="_Toc63328612"/>
      <w:bookmarkStart w:id="54" w:name="_Toc175222484"/>
      <w:bookmarkEnd w:id="45"/>
      <w:bookmarkEnd w:id="46"/>
      <w:bookmarkEnd w:id="47"/>
      <w:bookmarkEnd w:id="48"/>
      <w:bookmarkEnd w:id="49"/>
      <w:bookmarkEnd w:id="50"/>
      <w:bookmarkEnd w:id="51"/>
      <w:bookmarkEnd w:id="52"/>
      <w:bookmarkEnd w:id="53"/>
      <w:r>
        <w:t>Warranties</w:t>
      </w:r>
      <w:bookmarkEnd w:id="54"/>
    </w:p>
    <w:p w14:paraId="0B70BDC3" w14:textId="77777777" w:rsidR="008A0561" w:rsidRDefault="008A0561">
      <w:pPr>
        <w:pStyle w:val="AllensHeading2"/>
      </w:pPr>
      <w:bookmarkStart w:id="55" w:name="_Toc175222485"/>
      <w:r>
        <w:t>Company Warranties</w:t>
      </w:r>
      <w:bookmarkEnd w:id="55"/>
    </w:p>
    <w:p w14:paraId="7F2C984F" w14:textId="77777777" w:rsidR="008A0561" w:rsidRDefault="008A0561">
      <w:pPr>
        <w:pStyle w:val="NormalIndent"/>
      </w:pPr>
      <w:r>
        <w:t>The Company represents and warrants to the Investor as at the date of this agreement as follows.</w:t>
      </w:r>
    </w:p>
    <w:p w14:paraId="6CDC10EC" w14:textId="77777777" w:rsidR="008A0561" w:rsidRDefault="008A0561">
      <w:pPr>
        <w:pStyle w:val="AllensHeading3"/>
      </w:pPr>
      <w:r>
        <w:rPr>
          <w:color w:val="000000"/>
        </w:rPr>
        <w:t>The Company is a body corporate and is properly incorporated and validly existing under the Corporations Act.</w:t>
      </w:r>
    </w:p>
    <w:p w14:paraId="5182223F" w14:textId="77777777" w:rsidR="008A0561" w:rsidRDefault="008A0561">
      <w:pPr>
        <w:pStyle w:val="AllensHeading3"/>
      </w:pPr>
      <w:r>
        <w:rPr>
          <w:color w:val="000000"/>
        </w:rPr>
        <w:t>The Company has taken all necessary action to authorise the signing, delivery and performance of this agreement and the documents required under this agreement in accordance with their respective terms.</w:t>
      </w:r>
    </w:p>
    <w:p w14:paraId="0868B61D" w14:textId="77777777" w:rsidR="008A0561" w:rsidRPr="00A57F80" w:rsidRDefault="008A0561">
      <w:pPr>
        <w:pStyle w:val="AllensHeading3"/>
      </w:pPr>
      <w:r>
        <w:rPr>
          <w:color w:val="000000"/>
        </w:rPr>
        <w:t>The Company has the corporate power to enter into and perform its obligations under this agreement.</w:t>
      </w:r>
    </w:p>
    <w:p w14:paraId="341F273D" w14:textId="77777777" w:rsidR="008A0561" w:rsidRPr="00A57F80" w:rsidRDefault="008A0561" w:rsidP="00A57F80">
      <w:pPr>
        <w:pStyle w:val="AllensHeading3"/>
        <w:numPr>
          <w:ilvl w:val="0"/>
          <w:numId w:val="0"/>
        </w:numPr>
        <w:ind w:left="709"/>
      </w:pPr>
      <w:r>
        <w:rPr>
          <w:noProof/>
          <w:lang w:eastAsia="en-AU"/>
        </w:rPr>
        <w:lastRenderedPageBreak/>
        <mc:AlternateContent>
          <mc:Choice Requires="wps">
            <w:drawing>
              <wp:inline distT="0" distB="0" distL="0" distR="0" wp14:anchorId="7E6E24D7" wp14:editId="62884257">
                <wp:extent cx="5407270" cy="1072662"/>
                <wp:effectExtent l="0" t="0" r="3175" b="0"/>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07270" cy="1072662"/>
                        </a:xfrm>
                        <a:prstGeom prst="rect">
                          <a:avLst/>
                        </a:prstGeom>
                        <a:solidFill>
                          <a:srgbClr val="DAE0E4"/>
                        </a:solidFill>
                        <a:ln w="6350">
                          <a:noFill/>
                        </a:ln>
                        <a:effectLst/>
                      </wps:spPr>
                      <wps:txbx>
                        <w:txbxContent>
                          <w:p w14:paraId="5B88B418" w14:textId="77777777" w:rsidR="008A0561" w:rsidRDefault="008A0561">
                            <w:pPr>
                              <w:rPr>
                                <w:b/>
                                <w:color w:val="000000"/>
                              </w:rPr>
                            </w:pPr>
                            <w:r w:rsidRPr="004E5DD7">
                              <w:rPr>
                                <w:b/>
                                <w:color w:val="0074BF"/>
                              </w:rPr>
                              <w:t>Guidance note</w:t>
                            </w:r>
                          </w:p>
                          <w:p w14:paraId="2671D36A" w14:textId="77777777" w:rsidR="008A0561" w:rsidRDefault="008A0561">
                            <w:pPr>
                              <w:rPr>
                                <w:color w:val="000000"/>
                              </w:rPr>
                            </w:pPr>
                            <w:r>
                              <w:rPr>
                                <w:color w:val="000000"/>
                              </w:rPr>
                              <w:t>The Company should ensure that, to the extent any existing shareholders have pre-emptive rights over the issuance of this SAFE, these rights are waived prior to entry into the agreement by the parties.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E6E24D7" id="Text Box 21" o:spid="_x0000_s1034" type="#_x0000_t202" style="width:425.75pt;height:8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" fillcolor="#dae0e4" stroked="f" strokeweight=".5pt">
                <v:textbox inset=",0">
                  <w:txbxContent>
                    <w:p w14:paraId="5B88B418" w14:textId="77777777" w:rsidR="008A0561" w:rsidRDefault="008A0561">
                      <w:pPr>
                        <w:rPr>
                          <w:b/>
                          <w:color w:val="000000"/>
                        </w:rPr>
                      </w:pPr>
                      <w:r w:rsidRPr="004E5DD7">
                        <w:rPr>
                          <w:b/>
                          <w:color w:val="0074BF"/>
                        </w:rPr>
                        <w:t>Guidance note</w:t>
                      </w:r>
                    </w:p>
                    <w:p w14:paraId="2671D36A" w14:textId="77777777" w:rsidR="008A0561" w:rsidRDefault="008A0561">
                      <w:pPr>
                        <w:rPr>
                          <w:color w:val="000000"/>
                        </w:rPr>
                      </w:pPr>
                      <w:r>
                        <w:rPr>
                          <w:color w:val="000000"/>
                        </w:rPr>
                        <w:t>The Company should ensure that, to the extent any existing shareholders have pre-emptive rights over the issuance of this SAFE, these rights are waived prior to entry into the agreement by the parties.</w:t>
                      </w:r>
                    </w:p>
                  </w:txbxContent>
                </v:textbox>
                <w10:anchorlock/>
              </v:shape>
            </w:pict>
          </mc:Fallback>
        </mc:AlternateContent>
      </w:r>
    </w:p>
    <w:p w14:paraId="2A312B8C" w14:textId="77777777" w:rsidR="008A0561" w:rsidRDefault="008A0561">
      <w:pPr>
        <w:pStyle w:val="AllensHeading3"/>
      </w:pPr>
      <w:r>
        <w:rPr>
          <w:color w:val="000000"/>
        </w:rPr>
        <w:t>The Investor's rights under this agreement will be free of competing rights, including pre-emptive rights or rights of first refusal.</w:t>
      </w:r>
    </w:p>
    <w:p w14:paraId="3B607246" w14:textId="77777777" w:rsidR="008A0561" w:rsidRDefault="008A0561">
      <w:pPr>
        <w:pStyle w:val="AllensHeading3"/>
      </w:pPr>
      <w:r>
        <w:rPr>
          <w:color w:val="000000"/>
        </w:rPr>
        <w:t>The signing and delivery of this agreement by the Company and the performance by each Group Entity of its obligations under it complies in all material respects with:</w:t>
      </w:r>
    </w:p>
    <w:p w14:paraId="7E0CCE27" w14:textId="77777777" w:rsidR="008A0561" w:rsidRDefault="008A0561">
      <w:pPr>
        <w:pStyle w:val="AllensHeading4"/>
        <w:rPr>
          <w:sz w:val="18"/>
        </w:rPr>
      </w:pPr>
      <w:r>
        <w:t>the Company's constitution; and</w:t>
      </w:r>
    </w:p>
    <w:p w14:paraId="4C4DAF7E" w14:textId="77777777" w:rsidR="008A0561" w:rsidRDefault="008A0561">
      <w:pPr>
        <w:pStyle w:val="AllensHeading4"/>
        <w:rPr>
          <w:sz w:val="18"/>
        </w:rPr>
      </w:pPr>
      <w:r>
        <w:t>all Security Interests or documents binding on the Company.</w:t>
      </w:r>
    </w:p>
    <w:p w14:paraId="5B526264" w14:textId="77777777" w:rsidR="008A0561" w:rsidRDefault="008A0561">
      <w:pPr>
        <w:pStyle w:val="AllensHeading3"/>
      </w:pPr>
      <w:r>
        <w:rPr>
          <w:color w:val="000000"/>
        </w:rPr>
        <w:t>No Insolvency Event has occurred and remains current in respect of any Group Entity, and there are no circumstances which could reasonably be expected to give rise to an Insolvency Event in respect of any Group Entity.</w:t>
      </w:r>
    </w:p>
    <w:p w14:paraId="02958C92" w14:textId="77777777" w:rsidR="008A0561" w:rsidRDefault="008A0561">
      <w:pPr>
        <w:pStyle w:val="AllensHeading2"/>
      </w:pPr>
      <w:bookmarkStart w:id="56" w:name="_Toc63327356"/>
      <w:bookmarkStart w:id="57" w:name="_Toc63328504"/>
      <w:bookmarkStart w:id="58" w:name="_Toc63328560"/>
      <w:bookmarkStart w:id="59" w:name="_Toc63328615"/>
      <w:bookmarkStart w:id="60" w:name="_Toc63327357"/>
      <w:bookmarkStart w:id="61" w:name="_Toc63328505"/>
      <w:bookmarkStart w:id="62" w:name="_Toc63328561"/>
      <w:bookmarkStart w:id="63" w:name="_Toc63328616"/>
      <w:bookmarkStart w:id="64" w:name="_Toc63327358"/>
      <w:bookmarkStart w:id="65" w:name="_Toc63328506"/>
      <w:bookmarkStart w:id="66" w:name="_Toc63328562"/>
      <w:bookmarkStart w:id="67" w:name="_Toc63328617"/>
      <w:bookmarkStart w:id="68" w:name="_Toc63327359"/>
      <w:bookmarkStart w:id="69" w:name="_Toc63328507"/>
      <w:bookmarkStart w:id="70" w:name="_Toc63328563"/>
      <w:bookmarkStart w:id="71" w:name="_Toc63328618"/>
      <w:bookmarkStart w:id="72" w:name="_Toc63327360"/>
      <w:bookmarkStart w:id="73" w:name="_Toc63328508"/>
      <w:bookmarkStart w:id="74" w:name="_Toc63328564"/>
      <w:bookmarkStart w:id="75" w:name="_Toc63328619"/>
      <w:bookmarkStart w:id="76" w:name="_Toc63327361"/>
      <w:bookmarkStart w:id="77" w:name="_Toc63328509"/>
      <w:bookmarkStart w:id="78" w:name="_Toc63328565"/>
      <w:bookmarkStart w:id="79" w:name="_Toc63328620"/>
      <w:bookmarkStart w:id="80" w:name="_Toc63327362"/>
      <w:bookmarkStart w:id="81" w:name="_Toc63328510"/>
      <w:bookmarkStart w:id="82" w:name="_Toc63328566"/>
      <w:bookmarkStart w:id="83" w:name="_Toc63328621"/>
      <w:bookmarkStart w:id="84" w:name="_Toc175222486"/>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t>Maximum liability</w:t>
      </w:r>
      <w:bookmarkEnd w:id="84"/>
    </w:p>
    <w:p w14:paraId="3E3E6247" w14:textId="77777777" w:rsidR="008A0561" w:rsidRDefault="008A0561">
      <w:pPr>
        <w:pStyle w:val="NormalIndent"/>
      </w:pPr>
      <w:r>
        <w:t>The aggregate maximum liability of the Company to the Investor for all claims for breach of warranty under this agreement is an amount equal to the Purchase Price.</w:t>
      </w:r>
    </w:p>
    <w:p w14:paraId="7A4D2232" w14:textId="77777777" w:rsidR="008A0561" w:rsidRDefault="008A0561">
      <w:pPr>
        <w:pStyle w:val="AllensHeading2"/>
      </w:pPr>
      <w:bookmarkStart w:id="85" w:name="_Toc175222487"/>
      <w:bookmarkStart w:id="86" w:name="_Hlk175221831"/>
      <w:r>
        <w:t>No liability for indirect or consequential loss</w:t>
      </w:r>
      <w:bookmarkEnd w:id="85"/>
    </w:p>
    <w:p w14:paraId="7C25D84A" w14:textId="77777777" w:rsidR="008A0561" w:rsidRDefault="008A0561">
      <w:pPr>
        <w:pStyle w:val="NormalIndent"/>
      </w:pPr>
      <w:r>
        <w:t>To the maximum extent permitted by law, the Company is not liable for or with respect to any indirect or consequential loss or damage, loss of opportunity, damage to reputation, loss of customers, loss of profit or penalties or fines imposed by a government agency arising in connection with this agreement.</w:t>
      </w:r>
    </w:p>
    <w:p w14:paraId="52E78019" w14:textId="77777777" w:rsidR="008A0561" w:rsidRDefault="008A0561">
      <w:pPr>
        <w:pStyle w:val="AllensHeading2"/>
      </w:pPr>
      <w:bookmarkStart w:id="87" w:name="_Toc175222488"/>
      <w:bookmarkStart w:id="88" w:name="_Hlk175221898"/>
      <w:bookmarkEnd w:id="86"/>
      <w:r>
        <w:t>No inducement</w:t>
      </w:r>
      <w:bookmarkEnd w:id="87"/>
    </w:p>
    <w:p w14:paraId="162A2A9B" w14:textId="77777777" w:rsidR="008A0561" w:rsidRDefault="008A0561">
      <w:pPr>
        <w:pStyle w:val="NormalIndent"/>
      </w:pPr>
      <w:r>
        <w:t>The Investor acknowledges and agrees that in entering into this agreement, it is not relying on any statement, representation, warranty, forecast, opinion or statement of belief made by or on behalf of the Company or the Company's representatives or on any other conduct engaged in by the Company or the Company's representatives, other than the warranties made by the Company in this agreement.</w:t>
      </w:r>
    </w:p>
    <w:p w14:paraId="6AB148E2" w14:textId="77777777" w:rsidR="008A0561" w:rsidRDefault="008A0561">
      <w:pPr>
        <w:pStyle w:val="AllensHeading1"/>
      </w:pPr>
      <w:bookmarkStart w:id="89" w:name="_Toc175222489"/>
      <w:bookmarkEnd w:id="88"/>
      <w:r>
        <w:t>Investor warranties</w:t>
      </w:r>
      <w:bookmarkEnd w:id="89"/>
    </w:p>
    <w:p w14:paraId="2E45F85E" w14:textId="77777777" w:rsidR="008A0561" w:rsidRDefault="008A0561">
      <w:pPr>
        <w:pStyle w:val="NormalIndent"/>
        <w:keepNext/>
      </w:pPr>
      <w:r>
        <w:t>The Investor represents and warrants as follows.</w:t>
      </w:r>
    </w:p>
    <w:p w14:paraId="4D560810" w14:textId="77777777" w:rsidR="008A0561" w:rsidRDefault="008A0561">
      <w:pPr>
        <w:pStyle w:val="NormalIndent"/>
        <w:keepNext/>
      </w:pPr>
      <w:r>
        <w:rPr>
          <w:noProof/>
        </w:rPr>
        <mc:AlternateContent>
          <mc:Choice Requires="wps">
            <w:drawing>
              <wp:anchor distT="0" distB="0" distL="114300" distR="114300" simplePos="0" relativeHeight="251658240" behindDoc="0" locked="0" layoutInCell="1" allowOverlap="1" wp14:anchorId="2065F5B9" wp14:editId="02908630">
                <wp:simplePos x="0" y="0"/>
                <wp:positionH relativeFrom="column">
                  <wp:posOffset>453390</wp:posOffset>
                </wp:positionH>
                <wp:positionV relativeFrom="paragraph">
                  <wp:posOffset>67945</wp:posOffset>
                </wp:positionV>
                <wp:extent cx="5266055" cy="1098550"/>
                <wp:effectExtent l="0" t="0" r="0" b="6350"/>
                <wp:wrapSquare wrapText="bothSides"/>
                <wp:docPr id="735150821" name="Text Box 4"/>
                <wp:cNvGraphicFramePr/>
                <a:graphic xmlns:a="http://schemas.openxmlformats.org/drawingml/2006/main">
                  <a:graphicData uri="http://schemas.microsoft.com/office/word/2010/wordprocessingShape">
                    <wps:wsp>
                      <wps:cNvSpPr txBox="1"/>
                      <wps:spPr>
                        <a:xfrm>
                          <a:off x="0" y="0"/>
                          <a:ext cx="5266055" cy="1098550"/>
                        </a:xfrm>
                        <a:prstGeom prst="rect">
                          <a:avLst/>
                        </a:prstGeom>
                        <a:solidFill>
                          <a:srgbClr val="DAE0E4"/>
                        </a:solidFill>
                        <a:ln w="6350">
                          <a:noFill/>
                        </a:ln>
                      </wps:spPr>
                      <wps:txbx>
                        <w:txbxContent>
                          <w:p w14:paraId="58C136BE" w14:textId="77777777" w:rsidR="008A0561" w:rsidRPr="004E5DD7" w:rsidRDefault="008A0561">
                            <w:pPr>
                              <w:rPr>
                                <w:b/>
                                <w:color w:val="0074BF"/>
                              </w:rPr>
                            </w:pPr>
                            <w:r w:rsidRPr="004E5DD7">
                              <w:rPr>
                                <w:b/>
                                <w:color w:val="0074BF"/>
                              </w:rPr>
                              <w:t>Guidance note</w:t>
                            </w:r>
                          </w:p>
                          <w:p w14:paraId="075DFBF5" w14:textId="18853165" w:rsidR="008A0561" w:rsidRDefault="008A0561">
                            <w:r>
                              <w:t xml:space="preserve">The Company should only issue SAFEs to an Investor if the issuance falls under one of the exemptions in s 708 of the Corporations Act. Delete clause </w:t>
                            </w:r>
                            <w:r>
                              <w:fldChar w:fldCharType="begin"/>
                            </w:r>
                            <w:r>
                              <w:instrText xml:space="preserve"> REF _Ref175222150 \w \h </w:instrText>
                            </w:r>
                            <w:r>
                              <w:fldChar w:fldCharType="separate"/>
                            </w:r>
                            <w:r w:rsidR="00E57E1B">
                              <w:t>8(d)</w:t>
                            </w:r>
                            <w:r>
                              <w:fldChar w:fldCharType="end"/>
                            </w:r>
                            <w:r>
                              <w:t xml:space="preserve"> if not applicable, for example if the Company is instead relying on the '</w:t>
                            </w:r>
                            <w:r>
                              <w:rPr>
                                <w:i/>
                              </w:rPr>
                              <w:t>small scale offerings</w:t>
                            </w:r>
                            <w:r>
                              <w:t>' exemption under s 708(1) of the Corporations 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065F5B9" id="Text Box 4" o:spid="_x0000_s1035" type="#_x0000_t202" style="position:absolute;left:0;text-align:left;margin-left:35.7pt;margin-top:5.35pt;width:414.65pt;height:8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" fillcolor="#dae0e4" stroked="f" strokeweight=".5pt">
                <v:textbox>
                  <w:txbxContent>
                    <w:p w14:paraId="58C136BE" w14:textId="77777777" w:rsidR="008A0561" w:rsidRPr="004E5DD7" w:rsidRDefault="008A0561">
                      <w:pPr>
                        <w:rPr>
                          <w:b/>
                          <w:color w:val="0074BF"/>
                        </w:rPr>
                      </w:pPr>
                      <w:r w:rsidRPr="004E5DD7">
                        <w:rPr>
                          <w:b/>
                          <w:color w:val="0074BF"/>
                        </w:rPr>
                        <w:t>Guidance note</w:t>
                      </w:r>
                    </w:p>
                    <w:p w14:paraId="075DFBF5" w14:textId="18853165" w:rsidR="008A0561" w:rsidRDefault="008A0561">
                      <w:r>
                        <w:t xml:space="preserve">The Company should only issue SAFEs to an Investor if the issuance falls under one of the exemptions in s 708 of the Corporations Act. Delete clause </w:t>
                      </w:r>
                      <w:r>
                        <w:fldChar w:fldCharType="begin"/>
                      </w:r>
                      <w:r>
                        <w:instrText xml:space="preserve"> REF _Ref175222150 \w \h </w:instrText>
                      </w:r>
                      <w:r>
                        <w:fldChar w:fldCharType="separate"/>
                      </w:r>
                      <w:r w:rsidR="00E57E1B">
                        <w:t>8(d)</w:t>
                      </w:r>
                      <w:r>
                        <w:fldChar w:fldCharType="end"/>
                      </w:r>
                      <w:r>
                        <w:t xml:space="preserve"> if not applicable, for example if the Company is instead relying on the '</w:t>
                      </w:r>
                      <w:r>
                        <w:rPr>
                          <w:i/>
                        </w:rPr>
                        <w:t>small scale offerings</w:t>
                      </w:r>
                      <w:r>
                        <w:t>' exemption under s 708(1) of the Corporations Act.</w:t>
                      </w:r>
                    </w:p>
                  </w:txbxContent>
                </v:textbox>
                <w10:wrap type="square"/>
              </v:shape>
            </w:pict>
          </mc:Fallback>
        </mc:AlternateContent>
      </w:r>
    </w:p>
    <w:p w14:paraId="78802673" w14:textId="77777777" w:rsidR="008A0561" w:rsidRDefault="008A0561" w:rsidP="008252BB">
      <w:pPr>
        <w:pStyle w:val="NormalIndent"/>
      </w:pPr>
    </w:p>
    <w:p w14:paraId="67500568" w14:textId="77777777" w:rsidR="008A0561" w:rsidRDefault="008A0561" w:rsidP="008252BB">
      <w:pPr>
        <w:pStyle w:val="NormalIndent"/>
      </w:pPr>
    </w:p>
    <w:p w14:paraId="03EC5BE6" w14:textId="77777777" w:rsidR="008A0561" w:rsidRDefault="008A0561" w:rsidP="008252BB">
      <w:pPr>
        <w:pStyle w:val="NormalIndent"/>
      </w:pPr>
    </w:p>
    <w:p w14:paraId="1D8E365D" w14:textId="77777777" w:rsidR="008A0561" w:rsidRDefault="008A0561" w:rsidP="008252BB">
      <w:pPr>
        <w:pStyle w:val="NormalIndent"/>
      </w:pPr>
    </w:p>
    <w:p w14:paraId="73C83CEA" w14:textId="77777777" w:rsidR="008A0561" w:rsidRDefault="008A0561">
      <w:pPr>
        <w:pStyle w:val="AllensHeading3"/>
        <w:rPr>
          <w:color w:val="000000"/>
        </w:rPr>
      </w:pPr>
      <w:r>
        <w:rPr>
          <w:color w:val="000000"/>
        </w:rPr>
        <w:t>Where the Investor is a company, it is a body corporate duly incorporated and validly existing under the laws of its place of incorporation or establishment.</w:t>
      </w:r>
    </w:p>
    <w:p w14:paraId="63D5C083" w14:textId="77777777" w:rsidR="008A0561" w:rsidRDefault="008A0561">
      <w:pPr>
        <w:pStyle w:val="AllensHeading3"/>
        <w:rPr>
          <w:color w:val="000000"/>
        </w:rPr>
      </w:pPr>
      <w:r>
        <w:rPr>
          <w:color w:val="000000"/>
        </w:rPr>
        <w:t>The Investor has the power and capacity to enter into and perform its obligations under this agreement and to carry out the transactions contemplated by this agreement.</w:t>
      </w:r>
    </w:p>
    <w:p w14:paraId="1A4743D3" w14:textId="77777777" w:rsidR="008A0561" w:rsidRDefault="008A0561">
      <w:pPr>
        <w:pStyle w:val="AllensHeading3"/>
        <w:rPr>
          <w:color w:val="000000"/>
        </w:rPr>
      </w:pPr>
      <w:r>
        <w:rPr>
          <w:color w:val="000000"/>
        </w:rPr>
        <w:t>The Investor has taken all necessary action to authorise the entry into and performance of this agreement and to carry out the transactions contemplated by this agreement.</w:t>
      </w:r>
    </w:p>
    <w:p w14:paraId="3B01AE26" w14:textId="77777777" w:rsidR="008A0561" w:rsidRDefault="008A0561">
      <w:pPr>
        <w:pStyle w:val="AllensHeading3"/>
        <w:rPr>
          <w:color w:val="000000"/>
        </w:rPr>
      </w:pPr>
      <w:bookmarkStart w:id="90" w:name="_Ref175222150"/>
      <w:r>
        <w:rPr>
          <w:color w:val="000000"/>
        </w:rPr>
        <w:t>[</w:t>
      </w:r>
      <w:r w:rsidRPr="00A57F80">
        <w:rPr>
          <w:color w:val="000000"/>
          <w:highlight w:val="yellow"/>
        </w:rPr>
        <w:t>The Investor is a sophisticated or professional investor (for the purposes of sections 708(8) or (11) of the Corporations Act (as applicable) and it will promptly provide any information or certification requested by the Company to confirm this)..</w:t>
      </w:r>
      <w:r>
        <w:rPr>
          <w:color w:val="000000"/>
        </w:rPr>
        <w:t>]</w:t>
      </w:r>
      <w:bookmarkEnd w:id="90"/>
    </w:p>
    <w:p w14:paraId="4A82BFFF" w14:textId="77777777" w:rsidR="008A0561" w:rsidRDefault="008A0561">
      <w:pPr>
        <w:pStyle w:val="AllensHeading3"/>
        <w:rPr>
          <w:color w:val="000000"/>
        </w:rPr>
      </w:pPr>
      <w:r>
        <w:rPr>
          <w:color w:val="000000"/>
        </w:rPr>
        <w:t>This agreement constitutes valid and binding obligations on the Investor.</w:t>
      </w:r>
    </w:p>
    <w:p w14:paraId="150C6B76" w14:textId="77777777" w:rsidR="008A0561" w:rsidRDefault="008A0561">
      <w:pPr>
        <w:pStyle w:val="AllensHeading3"/>
        <w:rPr>
          <w:color w:val="000000"/>
        </w:rPr>
      </w:pPr>
      <w:bookmarkStart w:id="91" w:name="_Ref508104962"/>
      <w:r>
        <w:rPr>
          <w:color w:val="000000"/>
        </w:rPr>
        <w:t>The execution and performance by the Investor of this agreement and each transaction contemplated under this agreement did not and will not violate in any respect a provision of:</w:t>
      </w:r>
      <w:bookmarkEnd w:id="91"/>
    </w:p>
    <w:p w14:paraId="18834ED5" w14:textId="77777777" w:rsidR="008A0561" w:rsidRDefault="008A0561">
      <w:pPr>
        <w:pStyle w:val="AllensHeading4"/>
      </w:pPr>
      <w:r>
        <w:t>a law or treaty or a judgment, ruling, order or decree of a Governmental Agency binding on the Investor;</w:t>
      </w:r>
    </w:p>
    <w:p w14:paraId="0074075E" w14:textId="77777777" w:rsidR="008A0561" w:rsidRDefault="008A0561">
      <w:pPr>
        <w:pStyle w:val="AllensHeading4"/>
      </w:pPr>
      <w:r>
        <w:t>the Investor's constitution or other constituent documents; or</w:t>
      </w:r>
    </w:p>
    <w:p w14:paraId="7E4B4749" w14:textId="77777777" w:rsidR="008A0561" w:rsidRDefault="008A0561">
      <w:pPr>
        <w:pStyle w:val="AllensHeading4"/>
      </w:pPr>
      <w:r>
        <w:t>any other document or agreement which is binding on the Investor or its assets.</w:t>
      </w:r>
    </w:p>
    <w:p w14:paraId="28FAA6D2" w14:textId="77777777" w:rsidR="008A0561" w:rsidRDefault="008A0561">
      <w:pPr>
        <w:pStyle w:val="AllensHeading3"/>
        <w:rPr>
          <w:color w:val="000000"/>
          <w:highlight w:val="yellow"/>
        </w:rPr>
      </w:pPr>
      <w:bookmarkStart w:id="92" w:name="_Ref508104963"/>
      <w:r>
        <w:rPr>
          <w:color w:val="000000"/>
        </w:rPr>
        <w:t>[[</w:t>
      </w:r>
      <w:r>
        <w:rPr>
          <w:b/>
          <w:bCs/>
          <w:i/>
          <w:iCs/>
          <w:color w:val="000000"/>
          <w:highlight w:val="yellow"/>
        </w:rPr>
        <w:t>Optional – where the Investor is a trustee of a trust</w:t>
      </w:r>
      <w:r>
        <w:rPr>
          <w:color w:val="000000"/>
          <w:highlight w:val="yellow"/>
        </w:rPr>
        <w:t>:] The Investor:</w:t>
      </w:r>
      <w:bookmarkEnd w:id="92"/>
    </w:p>
    <w:p w14:paraId="32DE8980" w14:textId="77777777" w:rsidR="008A0561" w:rsidRDefault="008A0561">
      <w:pPr>
        <w:pStyle w:val="AllensHeading4"/>
        <w:rPr>
          <w:highlight w:val="yellow"/>
        </w:rPr>
      </w:pPr>
      <w:r>
        <w:rPr>
          <w:highlight w:val="yellow"/>
        </w:rPr>
        <w:t>is the only trustee of the relevant trust and no action has been taken or is proposed to remove it as trustee of the relevant trust;</w:t>
      </w:r>
    </w:p>
    <w:p w14:paraId="1E4DCAB8" w14:textId="77777777" w:rsidR="008A0561" w:rsidRDefault="008A0561">
      <w:pPr>
        <w:pStyle w:val="AllensHeading4"/>
        <w:rPr>
          <w:highlight w:val="yellow"/>
        </w:rPr>
      </w:pPr>
      <w:r>
        <w:rPr>
          <w:highlight w:val="yellow"/>
        </w:rPr>
        <w:t>has the power under the terms of the relevant trust to enter into and comply with its obligations under this agreement;</w:t>
      </w:r>
    </w:p>
    <w:p w14:paraId="2966B8CE" w14:textId="77777777" w:rsidR="008A0561" w:rsidRDefault="008A0561">
      <w:pPr>
        <w:pStyle w:val="AllensHeading4"/>
        <w:rPr>
          <w:highlight w:val="yellow"/>
        </w:rPr>
      </w:pPr>
      <w:r>
        <w:rPr>
          <w:highlight w:val="yellow"/>
        </w:rPr>
        <w:t>has carefully considered the purpose of this agreement and considers that entry into this agreement is for the benefit of the beneficiaries of the relevant trust, whose consents (if necessary) have been obtained;</w:t>
      </w:r>
    </w:p>
    <w:p w14:paraId="64CC8702" w14:textId="77777777" w:rsidR="008A0561" w:rsidRDefault="008A0561">
      <w:pPr>
        <w:pStyle w:val="AllensHeading4"/>
        <w:rPr>
          <w:highlight w:val="yellow"/>
        </w:rPr>
      </w:pPr>
      <w:r>
        <w:rPr>
          <w:highlight w:val="yellow"/>
        </w:rPr>
        <w:t>has not, and has never been, in default under the terms of the relevant trust; and</w:t>
      </w:r>
    </w:p>
    <w:p w14:paraId="15643F35" w14:textId="77777777" w:rsidR="008A0561" w:rsidRDefault="008A0561">
      <w:pPr>
        <w:pStyle w:val="AllensHeading4"/>
      </w:pPr>
      <w:r>
        <w:rPr>
          <w:highlight w:val="yellow"/>
        </w:rPr>
        <w:t>has not taken any action, and does not propose, to terminate the relevant trust and, to its knowledge, no other person has taken or proposes to take any action to terminate the relevant trust.</w:t>
      </w:r>
      <w:r>
        <w:t>]</w:t>
      </w:r>
    </w:p>
    <w:p w14:paraId="41D981CF" w14:textId="77777777" w:rsidR="008A0561" w:rsidRDefault="008A0561">
      <w:pPr>
        <w:pStyle w:val="AllensHeading1"/>
        <w:rPr>
          <w:kern w:val="20"/>
          <w:szCs w:val="18"/>
        </w:rPr>
      </w:pPr>
      <w:bookmarkStart w:id="93" w:name="_Toc63327367"/>
      <w:bookmarkStart w:id="94" w:name="_Toc63328515"/>
      <w:bookmarkStart w:id="95" w:name="_Toc63328571"/>
      <w:bookmarkStart w:id="96" w:name="_Toc63328626"/>
      <w:bookmarkStart w:id="97" w:name="_Toc63327368"/>
      <w:bookmarkStart w:id="98" w:name="_Toc63328516"/>
      <w:bookmarkStart w:id="99" w:name="_Toc63328572"/>
      <w:bookmarkStart w:id="100" w:name="_Toc63328627"/>
      <w:bookmarkStart w:id="101" w:name="_Toc63327369"/>
      <w:bookmarkStart w:id="102" w:name="_Toc63328517"/>
      <w:bookmarkStart w:id="103" w:name="_Toc63328573"/>
      <w:bookmarkStart w:id="104" w:name="_Toc63328628"/>
      <w:bookmarkStart w:id="105" w:name="_Toc63327370"/>
      <w:bookmarkStart w:id="106" w:name="_Toc63328518"/>
      <w:bookmarkStart w:id="107" w:name="_Toc63328574"/>
      <w:bookmarkStart w:id="108" w:name="_Toc63328629"/>
      <w:bookmarkStart w:id="109" w:name="_Toc175222490"/>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Pr>
          <w:kern w:val="20"/>
          <w:szCs w:val="18"/>
        </w:rPr>
        <w:t>Confidentiality</w:t>
      </w:r>
      <w:bookmarkEnd w:id="109"/>
    </w:p>
    <w:p w14:paraId="5055CCD2" w14:textId="77777777" w:rsidR="008A0561" w:rsidRDefault="008A0561">
      <w:pPr>
        <w:pStyle w:val="NormalIndent"/>
      </w:pPr>
      <w:r>
        <w:t>The Investor may not disclose the terms of this agreement except:</w:t>
      </w:r>
    </w:p>
    <w:p w14:paraId="069F8057" w14:textId="77777777" w:rsidR="008A0561" w:rsidRDefault="008A0561">
      <w:pPr>
        <w:pStyle w:val="AllensHeading3"/>
      </w:pPr>
      <w:r>
        <w:rPr>
          <w:color w:val="000000"/>
        </w:rPr>
        <w:t>after obtaining the prior written consent of the Company;</w:t>
      </w:r>
    </w:p>
    <w:p w14:paraId="300B3A3C" w14:textId="77777777" w:rsidR="008A0561" w:rsidRDefault="008A0561">
      <w:pPr>
        <w:pStyle w:val="AllensHeading3"/>
      </w:pPr>
      <w:r>
        <w:rPr>
          <w:color w:val="000000"/>
        </w:rPr>
        <w:t>to an officer, partner, employee or legal, financial or other professional adviser of the Investor who needs to know such information in the conduct of their duties or provision of professional services; or</w:t>
      </w:r>
    </w:p>
    <w:p w14:paraId="39C5E537" w14:textId="77777777" w:rsidR="008A0561" w:rsidRDefault="008A0561">
      <w:pPr>
        <w:pStyle w:val="AllensHeading3"/>
      </w:pPr>
      <w:r>
        <w:rPr>
          <w:color w:val="000000"/>
        </w:rPr>
        <w:t>as required by any applicable law after first consulting with the Company about the form and content of the disclosure (if permitted by law),</w:t>
      </w:r>
    </w:p>
    <w:p w14:paraId="77F74B84" w14:textId="77777777" w:rsidR="008A0561" w:rsidRDefault="008A0561">
      <w:pPr>
        <w:pStyle w:val="NormalIndent"/>
      </w:pPr>
      <w:r>
        <w:t>and must use its reasonable endeavours to ensure all such permitted disclosures are kept confidential by the third party to whom they are disclosed.</w:t>
      </w:r>
    </w:p>
    <w:p w14:paraId="6518ED4E" w14:textId="77777777" w:rsidR="008A0561" w:rsidRDefault="008A0561">
      <w:pPr>
        <w:pStyle w:val="AllensHeading1"/>
        <w:rPr>
          <w:kern w:val="20"/>
          <w:szCs w:val="18"/>
        </w:rPr>
      </w:pPr>
      <w:bookmarkStart w:id="110" w:name="_Toc175222491"/>
      <w:r>
        <w:rPr>
          <w:kern w:val="20"/>
          <w:szCs w:val="18"/>
        </w:rPr>
        <w:lastRenderedPageBreak/>
        <w:t>Notices</w:t>
      </w:r>
      <w:bookmarkEnd w:id="110"/>
    </w:p>
    <w:p w14:paraId="0854A7F9" w14:textId="77777777" w:rsidR="008A0561" w:rsidRDefault="008A0561">
      <w:pPr>
        <w:pStyle w:val="AllensHeading3"/>
      </w:pPr>
      <w:r>
        <w:rPr>
          <w:color w:val="000000"/>
        </w:rPr>
        <w:t>A notice, consent or other communication under this agreement is only effective if it is in writing, signed by or on behalf of the party giving it and it is received in full and legible form at the addressee's address or email address. It is regarded as received at the time and on the day it is actually received, but if it is received on a day that is not a Business Day or after 5.00 pm on a Business Day it is regarded as received at 9.00 am on the following Business Day.</w:t>
      </w:r>
    </w:p>
    <w:p w14:paraId="32BCBEBE" w14:textId="77777777" w:rsidR="008A0561" w:rsidRDefault="008A0561">
      <w:pPr>
        <w:pStyle w:val="AllensHeading3"/>
      </w:pPr>
      <w:r>
        <w:rPr>
          <w:color w:val="000000"/>
        </w:rPr>
        <w:t>For the purposes of this clause, a party's address and email address are as set out in the "Parties" section, unless the party has notified a changed address or email address in which case the notice, consent, approval or other communication must be to that address or email address.</w:t>
      </w:r>
    </w:p>
    <w:p w14:paraId="0DEE5D36" w14:textId="77777777" w:rsidR="008A0561" w:rsidRDefault="008A0561">
      <w:pPr>
        <w:pStyle w:val="AllensHeading1"/>
        <w:rPr>
          <w:kern w:val="20"/>
          <w:szCs w:val="18"/>
        </w:rPr>
      </w:pPr>
      <w:bookmarkStart w:id="111" w:name="_Toc175222492"/>
      <w:r>
        <w:rPr>
          <w:kern w:val="20"/>
          <w:szCs w:val="18"/>
        </w:rPr>
        <w:t>General</w:t>
      </w:r>
      <w:bookmarkEnd w:id="111"/>
    </w:p>
    <w:p w14:paraId="0C7AA076" w14:textId="77777777" w:rsidR="008A0561" w:rsidRDefault="008A0561">
      <w:pPr>
        <w:pStyle w:val="AllensHeading2"/>
      </w:pPr>
      <w:bookmarkStart w:id="112" w:name="_Toc175222493"/>
      <w:r>
        <w:t>Governing law</w:t>
      </w:r>
      <w:bookmarkEnd w:id="112"/>
    </w:p>
    <w:p w14:paraId="576A790D" w14:textId="77777777" w:rsidR="008A0561" w:rsidRDefault="008A0561">
      <w:pPr>
        <w:pStyle w:val="NormalIndent"/>
      </w:pPr>
      <w:r>
        <w:t>This agreement is governed by the laws of [</w:t>
      </w:r>
      <w:r>
        <w:rPr>
          <w:highlight w:val="yellow"/>
        </w:rPr>
        <w:t xml:space="preserve">insert state in which the Company is registered, </w:t>
      </w:r>
      <w:proofErr w:type="spellStart"/>
      <w:r>
        <w:rPr>
          <w:highlight w:val="yellow"/>
        </w:rPr>
        <w:t>eg</w:t>
      </w:r>
      <w:proofErr w:type="spellEnd"/>
      <w:r>
        <w:rPr>
          <w:highlight w:val="yellow"/>
        </w:rPr>
        <w:t>, New South Wales</w:t>
      </w:r>
      <w:r>
        <w:t>] and each party irrevocably and unconditionally submits to the non-exclusive jurisdiction of courts exercising jurisdiction there.</w:t>
      </w:r>
    </w:p>
    <w:p w14:paraId="2AB2CBAE" w14:textId="77777777" w:rsidR="008A0561" w:rsidRDefault="008A0561">
      <w:pPr>
        <w:pStyle w:val="AllensHeading2"/>
      </w:pPr>
      <w:bookmarkStart w:id="113" w:name="_Toc175222495"/>
      <w:r>
        <w:t>Assignment, novation and other dealings – consent required</w:t>
      </w:r>
      <w:bookmarkEnd w:id="113"/>
    </w:p>
    <w:p w14:paraId="283C9187" w14:textId="77777777" w:rsidR="008A0561" w:rsidRDefault="008A0561">
      <w:pPr>
        <w:pStyle w:val="NormalIndent"/>
      </w:pPr>
      <w:r>
        <w:t>A party must not assign or novate this agreement or otherwise deal with the benefit of it or a right under it, or purport to do so, without the prior written consent of the other party (such consent is not to be unreasonably withheld).</w:t>
      </w:r>
    </w:p>
    <w:p w14:paraId="36A7AE2D" w14:textId="77777777" w:rsidR="008A0561" w:rsidRDefault="008A0561">
      <w:pPr>
        <w:pStyle w:val="AllensHeading2"/>
      </w:pPr>
      <w:bookmarkStart w:id="114" w:name="_Toc175222496"/>
      <w:r>
        <w:t>Costs and expenses</w:t>
      </w:r>
      <w:bookmarkEnd w:id="114"/>
    </w:p>
    <w:p w14:paraId="59D1CEC9" w14:textId="77777777" w:rsidR="008A0561" w:rsidRDefault="008A0561">
      <w:pPr>
        <w:pStyle w:val="NormalIndent"/>
      </w:pPr>
      <w:r>
        <w:t>Except as expressly provided in this agreement each party must pay its own costs and expenses of negotiating, preparing and executing this agreement and any other instrument executed under this agreement.</w:t>
      </w:r>
    </w:p>
    <w:p w14:paraId="60F6D813" w14:textId="77777777" w:rsidR="008A0561" w:rsidRDefault="008A0561">
      <w:pPr>
        <w:pStyle w:val="AllensHeading2"/>
      </w:pPr>
      <w:bookmarkStart w:id="115" w:name="_Toc175222497"/>
      <w:r>
        <w:t>Variation</w:t>
      </w:r>
      <w:bookmarkEnd w:id="115"/>
    </w:p>
    <w:p w14:paraId="78CC2FAF" w14:textId="77777777" w:rsidR="008A0561" w:rsidRDefault="008A0561">
      <w:pPr>
        <w:pStyle w:val="NormalIndent"/>
      </w:pPr>
      <w:r>
        <w:t>No variation of this agreement is effective unless made in writing and duly executed by each party.</w:t>
      </w:r>
    </w:p>
    <w:p w14:paraId="4C4E4429" w14:textId="77777777" w:rsidR="008A0561" w:rsidRDefault="008A0561">
      <w:pPr>
        <w:pStyle w:val="AllensHeading2"/>
      </w:pPr>
      <w:bookmarkStart w:id="116" w:name="_Toc175222498"/>
      <w:r>
        <w:t>Waiver</w:t>
      </w:r>
      <w:bookmarkEnd w:id="116"/>
    </w:p>
    <w:p w14:paraId="7199AED6" w14:textId="77777777" w:rsidR="008A0561" w:rsidRDefault="008A0561">
      <w:pPr>
        <w:pStyle w:val="AllensHeading3"/>
      </w:pPr>
      <w:r>
        <w:rPr>
          <w:color w:val="000000"/>
        </w:rPr>
        <w:t>No waiver of a right or remedy under this agreement is effective unless it is in writing and signed by the party granting it. It is only effective in the specific instance and for the specific purpose for which it is granted.</w:t>
      </w:r>
    </w:p>
    <w:p w14:paraId="2FD52EB2" w14:textId="77777777" w:rsidR="008A0561" w:rsidRDefault="008A0561">
      <w:pPr>
        <w:pStyle w:val="AllensHeading3"/>
      </w:pPr>
      <w:r>
        <w:rPr>
          <w:color w:val="000000"/>
        </w:rPr>
        <w:t>A single or partial exercise of a right or remedy under this agreement does not prevent a further exercise of that or of any other right or remedy.</w:t>
      </w:r>
    </w:p>
    <w:p w14:paraId="206D2C52" w14:textId="77777777" w:rsidR="008A0561" w:rsidRDefault="008A0561">
      <w:pPr>
        <w:pStyle w:val="AllensHeading3"/>
      </w:pPr>
      <w:r>
        <w:rPr>
          <w:color w:val="000000"/>
        </w:rPr>
        <w:t>Failure to exercise or delay in exercising a right or remedy under this agreement does not operate as a waiver or prevent further exercise of that or any other right or remedy.</w:t>
      </w:r>
    </w:p>
    <w:p w14:paraId="174A0E79" w14:textId="77777777" w:rsidR="008A0561" w:rsidRDefault="008A0561">
      <w:pPr>
        <w:pStyle w:val="AllensHeading2"/>
      </w:pPr>
      <w:bookmarkStart w:id="117" w:name="_Toc175222499"/>
      <w:r>
        <w:t>Further assurances</w:t>
      </w:r>
      <w:bookmarkEnd w:id="117"/>
    </w:p>
    <w:p w14:paraId="0F19F2C7" w14:textId="77777777" w:rsidR="008A0561" w:rsidRDefault="008A0561">
      <w:pPr>
        <w:pStyle w:val="NormalIndent"/>
      </w:pPr>
      <w:r>
        <w:t>Except as expressly provided in this agreement, each party must, at its own expense, do all things reasonably necessary to give full effect to this agreement and the matters contemplated by it.</w:t>
      </w:r>
    </w:p>
    <w:p w14:paraId="71838652" w14:textId="77777777" w:rsidR="008A0561" w:rsidRDefault="008A0561">
      <w:pPr>
        <w:pStyle w:val="AllensHeading2"/>
      </w:pPr>
      <w:bookmarkStart w:id="118" w:name="_Toc67067052"/>
      <w:bookmarkStart w:id="119" w:name="_Toc73709073"/>
      <w:bookmarkStart w:id="120" w:name="_Toc175152090"/>
      <w:bookmarkStart w:id="121" w:name="_Toc175222000"/>
      <w:bookmarkStart w:id="122" w:name="_Toc175222500"/>
      <w:r>
        <w:lastRenderedPageBreak/>
        <w:t>Execution and counterparts</w:t>
      </w:r>
      <w:bookmarkEnd w:id="118"/>
      <w:bookmarkEnd w:id="119"/>
      <w:bookmarkEnd w:id="120"/>
      <w:bookmarkEnd w:id="121"/>
      <w:bookmarkEnd w:id="122"/>
    </w:p>
    <w:p w14:paraId="5DC4E34F" w14:textId="77777777" w:rsidR="008A0561" w:rsidRDefault="008A0561">
      <w:pPr>
        <w:pStyle w:val="AllensHeading3"/>
      </w:pPr>
      <w:r>
        <w:t>This agreement may be executed electronically, including by using software or a platform for the electronic execution of contracts, and in any number of counterparts. All counterparts together will be taken to constitute one instrument.</w:t>
      </w:r>
    </w:p>
    <w:p w14:paraId="655140B6" w14:textId="77777777" w:rsidR="008A0561" w:rsidRDefault="008A0561">
      <w:pPr>
        <w:pStyle w:val="AllensHeading3"/>
      </w:pPr>
      <w:r>
        <w:t>Each party that signs this agreement electronically represents and warrants that it or anyone signing on its behalf:</w:t>
      </w:r>
    </w:p>
    <w:p w14:paraId="792C7F59" w14:textId="77777777" w:rsidR="008A0561" w:rsidRDefault="008A0561">
      <w:pPr>
        <w:pStyle w:val="AllensHeading4"/>
      </w:pPr>
      <w:r>
        <w:t>has been duly authorised to enter into and execute this agreement electronically and to create obligations that are valid and binding obligations on the party;</w:t>
      </w:r>
    </w:p>
    <w:p w14:paraId="3B1E757D" w14:textId="77777777" w:rsidR="008A0561" w:rsidRDefault="008A0561">
      <w:pPr>
        <w:pStyle w:val="AllensHeading4"/>
      </w:pPr>
      <w:r>
        <w:t>has affixed their own electronic signature; and</w:t>
      </w:r>
    </w:p>
    <w:p w14:paraId="1A8E1581" w14:textId="77777777" w:rsidR="008A0561" w:rsidRDefault="008A0561">
      <w:pPr>
        <w:pStyle w:val="AllensHeading4"/>
      </w:pPr>
      <w:r>
        <w:t>holds the position or title indicated under their electronic signature.</w:t>
      </w:r>
    </w:p>
    <w:p w14:paraId="57DBA837" w14:textId="77777777" w:rsidR="008A0561" w:rsidRDefault="008A0561">
      <w:pPr>
        <w:spacing w:before="0" w:after="200" w:line="276" w:lineRule="auto"/>
        <w:rPr>
          <w:b/>
          <w:sz w:val="22"/>
        </w:rPr>
      </w:pPr>
      <w:r>
        <w:br w:type="page"/>
      </w:r>
    </w:p>
    <w:p w14:paraId="20D12238" w14:textId="77777777" w:rsidR="008A0561" w:rsidRDefault="008A0561">
      <w:pPr>
        <w:pStyle w:val="GeneralHeading1"/>
      </w:pPr>
      <w:r>
        <w:lastRenderedPageBreak/>
        <w:t>Executed as an agreement.</w:t>
      </w:r>
    </w:p>
    <w:p w14:paraId="121A88D3" w14:textId="77777777" w:rsidR="008A0561" w:rsidRDefault="008A0561">
      <w:pPr>
        <w:rPr>
          <w:rFonts w:cs="Arial"/>
          <w:b/>
        </w:rPr>
      </w:pPr>
    </w:p>
    <w:tbl>
      <w:tblPr>
        <w:tblW w:w="0" w:type="auto"/>
        <w:tblInd w:w="108" w:type="dxa"/>
        <w:tblLayout w:type="fixed"/>
        <w:tblLook w:val="0000" w:firstRow="0" w:lastRow="0" w:firstColumn="0" w:lastColumn="0" w:noHBand="0" w:noVBand="0"/>
      </w:tblPr>
      <w:tblGrid>
        <w:gridCol w:w="4111"/>
        <w:gridCol w:w="567"/>
        <w:gridCol w:w="4111"/>
      </w:tblGrid>
      <w:tr w:rsidR="008A0561" w14:paraId="56BEF130" w14:textId="77777777">
        <w:trPr>
          <w:gridAfter w:val="2"/>
          <w:wAfter w:w="4678" w:type="dxa"/>
          <w:cantSplit/>
          <w:trHeight w:val="1400"/>
        </w:trPr>
        <w:tc>
          <w:tcPr>
            <w:tcW w:w="4111" w:type="dxa"/>
          </w:tcPr>
          <w:p w14:paraId="1EFFCF43" w14:textId="77777777" w:rsidR="008A0561" w:rsidRDefault="008A0561">
            <w:pPr>
              <w:ind w:left="-108"/>
            </w:pPr>
            <w:r>
              <w:rPr>
                <w:b/>
              </w:rPr>
              <w:t>Executed</w:t>
            </w:r>
            <w:r>
              <w:t xml:space="preserve"> in accordance with section 127 of the </w:t>
            </w:r>
            <w:r>
              <w:rPr>
                <w:iCs/>
              </w:rPr>
              <w:t xml:space="preserve">Corporations Act </w:t>
            </w:r>
            <w:r>
              <w:t xml:space="preserve">by </w:t>
            </w:r>
            <w:r>
              <w:rPr>
                <w:b/>
              </w:rPr>
              <w:t>[</w:t>
            </w:r>
            <w:r>
              <w:rPr>
                <w:b/>
                <w:highlight w:val="yellow"/>
              </w:rPr>
              <w:t>insert name of the Company</w:t>
            </w:r>
            <w:r>
              <w:rPr>
                <w:b/>
              </w:rPr>
              <w:t>]</w:t>
            </w:r>
            <w:r>
              <w:t>:</w:t>
            </w:r>
          </w:p>
        </w:tc>
      </w:tr>
      <w:tr w:rsidR="008A0561" w14:paraId="51D8FF6D" w14:textId="77777777">
        <w:trPr>
          <w:gridAfter w:val="2"/>
          <w:wAfter w:w="4678" w:type="dxa"/>
          <w:cantSplit/>
          <w:trHeight w:val="150"/>
        </w:trPr>
        <w:tc>
          <w:tcPr>
            <w:tcW w:w="4111" w:type="dxa"/>
          </w:tcPr>
          <w:p w14:paraId="7637B2F3" w14:textId="77777777" w:rsidR="008A0561" w:rsidRDefault="008A0561">
            <w:pPr>
              <w:ind w:left="-108"/>
            </w:pPr>
          </w:p>
        </w:tc>
      </w:tr>
      <w:tr w:rsidR="008A0561" w14:paraId="5EB7BDD5" w14:textId="77777777">
        <w:trPr>
          <w:cantSplit/>
          <w:trHeight w:val="150"/>
        </w:trPr>
        <w:tc>
          <w:tcPr>
            <w:tcW w:w="4111" w:type="dxa"/>
            <w:tcBorders>
              <w:top w:val="single" w:sz="4" w:space="0" w:color="auto"/>
            </w:tcBorders>
          </w:tcPr>
          <w:p w14:paraId="0CCBC8D9" w14:textId="77777777" w:rsidR="008A0561" w:rsidRDefault="008A0561">
            <w:pPr>
              <w:ind w:left="-108"/>
            </w:pPr>
            <w:r>
              <w:t>Director Signature</w:t>
            </w:r>
          </w:p>
        </w:tc>
        <w:tc>
          <w:tcPr>
            <w:tcW w:w="567" w:type="dxa"/>
            <w:vMerge w:val="restart"/>
          </w:tcPr>
          <w:p w14:paraId="00E4F4EB" w14:textId="77777777" w:rsidR="008A0561" w:rsidRDefault="008A0561"/>
        </w:tc>
        <w:tc>
          <w:tcPr>
            <w:tcW w:w="4111" w:type="dxa"/>
            <w:tcBorders>
              <w:top w:val="single" w:sz="4" w:space="0" w:color="auto"/>
            </w:tcBorders>
          </w:tcPr>
          <w:p w14:paraId="6A9484CE" w14:textId="77777777" w:rsidR="008A0561" w:rsidRDefault="008A0561">
            <w:pPr>
              <w:ind w:left="-108"/>
            </w:pPr>
            <w:r>
              <w:t>Director/Secretary Signature</w:t>
            </w:r>
          </w:p>
        </w:tc>
      </w:tr>
      <w:tr w:rsidR="008A0561" w14:paraId="655E7975" w14:textId="77777777">
        <w:trPr>
          <w:cantSplit/>
        </w:trPr>
        <w:tc>
          <w:tcPr>
            <w:tcW w:w="4111" w:type="dxa"/>
          </w:tcPr>
          <w:p w14:paraId="49FA885E" w14:textId="77777777" w:rsidR="008A0561" w:rsidRDefault="008A0561">
            <w:pPr>
              <w:ind w:left="-108"/>
              <w:rPr>
                <w:b/>
              </w:rPr>
            </w:pPr>
          </w:p>
        </w:tc>
        <w:tc>
          <w:tcPr>
            <w:tcW w:w="567" w:type="dxa"/>
            <w:vMerge/>
          </w:tcPr>
          <w:p w14:paraId="2B4E5EE2" w14:textId="77777777" w:rsidR="008A0561" w:rsidRDefault="008A0561"/>
        </w:tc>
        <w:tc>
          <w:tcPr>
            <w:tcW w:w="4111" w:type="dxa"/>
          </w:tcPr>
          <w:p w14:paraId="789ACAAE" w14:textId="77777777" w:rsidR="008A0561" w:rsidRDefault="008A0561">
            <w:pPr>
              <w:ind w:left="-108"/>
              <w:rPr>
                <w:b/>
              </w:rPr>
            </w:pPr>
          </w:p>
        </w:tc>
      </w:tr>
      <w:tr w:rsidR="008A0561" w14:paraId="1F298E5E" w14:textId="77777777">
        <w:trPr>
          <w:cantSplit/>
        </w:trPr>
        <w:tc>
          <w:tcPr>
            <w:tcW w:w="4111" w:type="dxa"/>
            <w:tcBorders>
              <w:top w:val="single" w:sz="4" w:space="0" w:color="auto"/>
            </w:tcBorders>
          </w:tcPr>
          <w:p w14:paraId="74666E45" w14:textId="77777777" w:rsidR="008A0561" w:rsidRDefault="008A0561">
            <w:pPr>
              <w:ind w:left="-108"/>
            </w:pPr>
            <w:r>
              <w:t>Print Name</w:t>
            </w:r>
          </w:p>
        </w:tc>
        <w:tc>
          <w:tcPr>
            <w:tcW w:w="567" w:type="dxa"/>
            <w:vMerge/>
          </w:tcPr>
          <w:p w14:paraId="18A13512" w14:textId="77777777" w:rsidR="008A0561" w:rsidRDefault="008A0561"/>
        </w:tc>
        <w:tc>
          <w:tcPr>
            <w:tcW w:w="4111" w:type="dxa"/>
            <w:tcBorders>
              <w:top w:val="single" w:sz="4" w:space="0" w:color="auto"/>
            </w:tcBorders>
          </w:tcPr>
          <w:p w14:paraId="7B7DAB82" w14:textId="77777777" w:rsidR="008A0561" w:rsidRDefault="008A0561">
            <w:pPr>
              <w:ind w:left="-108"/>
            </w:pPr>
            <w:r>
              <w:t>Print Name</w:t>
            </w:r>
          </w:p>
        </w:tc>
      </w:tr>
    </w:tbl>
    <w:p w14:paraId="1847749B" w14:textId="77777777" w:rsidR="008A0561" w:rsidRDefault="008A0561"/>
    <w:tbl>
      <w:tblPr>
        <w:tblW w:w="0" w:type="auto"/>
        <w:tblInd w:w="108" w:type="dxa"/>
        <w:tblLayout w:type="fixed"/>
        <w:tblLook w:val="0000" w:firstRow="0" w:lastRow="0" w:firstColumn="0" w:lastColumn="0" w:noHBand="0" w:noVBand="0"/>
      </w:tblPr>
      <w:tblGrid>
        <w:gridCol w:w="4111"/>
        <w:gridCol w:w="567"/>
        <w:gridCol w:w="4111"/>
      </w:tblGrid>
      <w:tr w:rsidR="008A0561" w14:paraId="2CDB92E3" w14:textId="77777777">
        <w:trPr>
          <w:gridAfter w:val="2"/>
          <w:wAfter w:w="4678" w:type="dxa"/>
          <w:cantSplit/>
          <w:trHeight w:val="1400"/>
        </w:trPr>
        <w:tc>
          <w:tcPr>
            <w:tcW w:w="4111" w:type="dxa"/>
          </w:tcPr>
          <w:p w14:paraId="08512A97" w14:textId="77777777" w:rsidR="008A0561" w:rsidRDefault="008A0561">
            <w:pPr>
              <w:ind w:left="-108"/>
            </w:pPr>
            <w:r>
              <w:rPr>
                <w:b/>
              </w:rPr>
              <w:t>Executed</w:t>
            </w:r>
            <w:r>
              <w:t xml:space="preserve"> in accordance with section 127 of the </w:t>
            </w:r>
            <w:r>
              <w:rPr>
                <w:iCs/>
              </w:rPr>
              <w:t>Corporations Act</w:t>
            </w:r>
            <w:r>
              <w:rPr>
                <w:i/>
              </w:rPr>
              <w:t xml:space="preserve"> </w:t>
            </w:r>
            <w:r>
              <w:t xml:space="preserve">by </w:t>
            </w:r>
            <w:r>
              <w:rPr>
                <w:b/>
              </w:rPr>
              <w:t>[</w:t>
            </w:r>
            <w:r>
              <w:rPr>
                <w:b/>
                <w:highlight w:val="yellow"/>
              </w:rPr>
              <w:t>insert name of Investor (if a Company)]</w:t>
            </w:r>
            <w:r>
              <w:t>:</w:t>
            </w:r>
          </w:p>
        </w:tc>
      </w:tr>
      <w:tr w:rsidR="008A0561" w14:paraId="2DFE4FA5" w14:textId="77777777">
        <w:trPr>
          <w:gridAfter w:val="2"/>
          <w:wAfter w:w="4678" w:type="dxa"/>
          <w:cantSplit/>
          <w:trHeight w:val="400"/>
        </w:trPr>
        <w:tc>
          <w:tcPr>
            <w:tcW w:w="4111" w:type="dxa"/>
          </w:tcPr>
          <w:p w14:paraId="7E9ED27F" w14:textId="77777777" w:rsidR="008A0561" w:rsidRDefault="008A0561">
            <w:pPr>
              <w:ind w:left="-108"/>
            </w:pPr>
          </w:p>
        </w:tc>
      </w:tr>
      <w:tr w:rsidR="008A0561" w14:paraId="33248FA5" w14:textId="77777777">
        <w:trPr>
          <w:cantSplit/>
          <w:trHeight w:val="150"/>
        </w:trPr>
        <w:tc>
          <w:tcPr>
            <w:tcW w:w="4111" w:type="dxa"/>
            <w:tcBorders>
              <w:top w:val="single" w:sz="4" w:space="0" w:color="auto"/>
            </w:tcBorders>
          </w:tcPr>
          <w:p w14:paraId="10422A03" w14:textId="77777777" w:rsidR="008A0561" w:rsidRDefault="008A0561">
            <w:pPr>
              <w:ind w:left="-108"/>
            </w:pPr>
            <w:r>
              <w:t>Director Signature</w:t>
            </w:r>
          </w:p>
        </w:tc>
        <w:tc>
          <w:tcPr>
            <w:tcW w:w="567" w:type="dxa"/>
            <w:vMerge w:val="restart"/>
          </w:tcPr>
          <w:p w14:paraId="555269FD" w14:textId="77777777" w:rsidR="008A0561" w:rsidRDefault="008A0561"/>
        </w:tc>
        <w:tc>
          <w:tcPr>
            <w:tcW w:w="4111" w:type="dxa"/>
            <w:tcBorders>
              <w:top w:val="single" w:sz="4" w:space="0" w:color="auto"/>
            </w:tcBorders>
          </w:tcPr>
          <w:p w14:paraId="55B8F1E4" w14:textId="77777777" w:rsidR="008A0561" w:rsidRDefault="008A0561">
            <w:r>
              <w:t>Director/Secretary Signature</w:t>
            </w:r>
          </w:p>
        </w:tc>
      </w:tr>
      <w:tr w:rsidR="008A0561" w14:paraId="77B45156" w14:textId="77777777">
        <w:trPr>
          <w:cantSplit/>
        </w:trPr>
        <w:tc>
          <w:tcPr>
            <w:tcW w:w="4111" w:type="dxa"/>
          </w:tcPr>
          <w:p w14:paraId="1CA7824A" w14:textId="77777777" w:rsidR="008A0561" w:rsidRDefault="008A0561">
            <w:pPr>
              <w:rPr>
                <w:b/>
              </w:rPr>
            </w:pPr>
          </w:p>
        </w:tc>
        <w:tc>
          <w:tcPr>
            <w:tcW w:w="567" w:type="dxa"/>
            <w:vMerge/>
          </w:tcPr>
          <w:p w14:paraId="613E0016" w14:textId="77777777" w:rsidR="008A0561" w:rsidRDefault="008A0561">
            <w:pPr>
              <w:rPr>
                <w:b/>
              </w:rPr>
            </w:pPr>
          </w:p>
        </w:tc>
        <w:tc>
          <w:tcPr>
            <w:tcW w:w="4111" w:type="dxa"/>
          </w:tcPr>
          <w:p w14:paraId="22963678" w14:textId="77777777" w:rsidR="008A0561" w:rsidRDefault="008A0561">
            <w:pPr>
              <w:rPr>
                <w:b/>
              </w:rPr>
            </w:pPr>
          </w:p>
        </w:tc>
      </w:tr>
      <w:tr w:rsidR="008A0561" w14:paraId="28DFD651" w14:textId="77777777">
        <w:trPr>
          <w:cantSplit/>
        </w:trPr>
        <w:tc>
          <w:tcPr>
            <w:tcW w:w="4111" w:type="dxa"/>
            <w:tcBorders>
              <w:top w:val="single" w:sz="4" w:space="0" w:color="auto"/>
            </w:tcBorders>
          </w:tcPr>
          <w:p w14:paraId="5BA155D7" w14:textId="77777777" w:rsidR="008A0561" w:rsidRDefault="008A0561">
            <w:pPr>
              <w:ind w:left="-108"/>
            </w:pPr>
            <w:r>
              <w:t>Print Name</w:t>
            </w:r>
          </w:p>
        </w:tc>
        <w:tc>
          <w:tcPr>
            <w:tcW w:w="567" w:type="dxa"/>
            <w:vMerge/>
          </w:tcPr>
          <w:p w14:paraId="5766EDD9" w14:textId="77777777" w:rsidR="008A0561" w:rsidRDefault="008A0561"/>
        </w:tc>
        <w:tc>
          <w:tcPr>
            <w:tcW w:w="4111" w:type="dxa"/>
            <w:tcBorders>
              <w:top w:val="single" w:sz="4" w:space="0" w:color="auto"/>
            </w:tcBorders>
          </w:tcPr>
          <w:p w14:paraId="22BF8862" w14:textId="77777777" w:rsidR="008A0561" w:rsidRDefault="008A0561">
            <w:r>
              <w:t>Print Name</w:t>
            </w:r>
          </w:p>
        </w:tc>
      </w:tr>
    </w:tbl>
    <w:p w14:paraId="2E2DBC8A" w14:textId="77777777" w:rsidR="008A0561" w:rsidRDefault="008A0561">
      <w:pPr>
        <w:spacing w:after="360"/>
        <w:rPr>
          <w:rFonts w:cs="Arial"/>
          <w:b/>
        </w:rPr>
      </w:pPr>
    </w:p>
    <w:p w14:paraId="2BA6CF2E" w14:textId="77777777" w:rsidR="008A0561" w:rsidRDefault="008A0561">
      <w:pPr>
        <w:spacing w:after="360"/>
        <w:rPr>
          <w:rFonts w:cs="Arial"/>
          <w:b/>
        </w:rPr>
      </w:pPr>
      <w:r>
        <w:rPr>
          <w:noProof/>
          <w:lang w:eastAsia="en-AU"/>
        </w:rPr>
        <mc:AlternateContent>
          <mc:Choice Requires="wps">
            <w:drawing>
              <wp:inline distT="0" distB="0" distL="0" distR="0" wp14:anchorId="7D7899F4" wp14:editId="16B72087">
                <wp:extent cx="5916930" cy="985652"/>
                <wp:effectExtent l="0" t="0" r="7620" b="5080"/>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85652"/>
                        </a:xfrm>
                        <a:prstGeom prst="rect">
                          <a:avLst/>
                        </a:prstGeom>
                        <a:solidFill>
                          <a:srgbClr val="DAE0E4"/>
                        </a:solidFill>
                        <a:ln w="6350">
                          <a:noFill/>
                        </a:ln>
                        <a:effectLst/>
                      </wps:spPr>
                      <wps:txbx>
                        <w:txbxContent>
                          <w:p w14:paraId="40020B36" w14:textId="77777777" w:rsidR="008A0561" w:rsidRPr="008252BB" w:rsidRDefault="008A0561">
                            <w:pPr>
                              <w:rPr>
                                <w:b/>
                                <w:color w:val="0074BF"/>
                              </w:rPr>
                            </w:pPr>
                            <w:r w:rsidRPr="008252BB">
                              <w:rPr>
                                <w:b/>
                                <w:color w:val="0074BF"/>
                              </w:rPr>
                              <w:t>Guidance note</w:t>
                            </w:r>
                          </w:p>
                          <w:p w14:paraId="2974F5ED" w14:textId="77777777" w:rsidR="008A0561" w:rsidRDefault="008A0561">
                            <w:r>
                              <w:t>If any party is a sole director and sole company, substitute the above execution blocks with the execution block below.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D7899F4" id="Text Box 18" o:spid="_x0000_s1036" type="#_x0000_t202" style="width:465.9pt;height:7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" fillcolor="#dae0e4" stroked="f" strokeweight=".5pt">
                <v:textbox inset=",0">
                  <w:txbxContent>
                    <w:p w14:paraId="40020B36" w14:textId="77777777" w:rsidR="008A0561" w:rsidRPr="008252BB" w:rsidRDefault="008A0561">
                      <w:pPr>
                        <w:rPr>
                          <w:b/>
                          <w:color w:val="0074BF"/>
                        </w:rPr>
                      </w:pPr>
                      <w:r w:rsidRPr="008252BB">
                        <w:rPr>
                          <w:b/>
                          <w:color w:val="0074BF"/>
                        </w:rPr>
                        <w:t>Guidance note</w:t>
                      </w:r>
                    </w:p>
                    <w:p w14:paraId="2974F5ED" w14:textId="77777777" w:rsidR="008A0561" w:rsidRDefault="008A0561">
                      <w:r>
                        <w:t>If any party is a sole director and sole company, substitute the above execution blocks with the execution block below. Otherwise, delete the following execution block.</w:t>
                      </w:r>
                    </w:p>
                  </w:txbxContent>
                </v:textbox>
                <w10:anchorlock/>
              </v:shape>
            </w:pict>
          </mc:Fallback>
        </mc:AlternateContent>
      </w:r>
    </w:p>
    <w:tbl>
      <w:tblPr>
        <w:tblW w:w="0" w:type="auto"/>
        <w:tblInd w:w="108" w:type="dxa"/>
        <w:tblLayout w:type="fixed"/>
        <w:tblLook w:val="0000" w:firstRow="0" w:lastRow="0" w:firstColumn="0" w:lastColumn="0" w:noHBand="0" w:noVBand="0"/>
      </w:tblPr>
      <w:tblGrid>
        <w:gridCol w:w="4111"/>
      </w:tblGrid>
      <w:tr w:rsidR="008A0561" w14:paraId="387C5760" w14:textId="77777777">
        <w:trPr>
          <w:cantSplit/>
          <w:trHeight w:val="1400"/>
        </w:trPr>
        <w:tc>
          <w:tcPr>
            <w:tcW w:w="4111" w:type="dxa"/>
          </w:tcPr>
          <w:p w14:paraId="3966D168" w14:textId="77777777" w:rsidR="008A0561" w:rsidRDefault="008A0561">
            <w:pPr>
              <w:spacing w:line="360" w:lineRule="auto"/>
              <w:ind w:left="-108"/>
            </w:pPr>
            <w:r>
              <w:rPr>
                <w:b/>
              </w:rPr>
              <w:t>Executed</w:t>
            </w:r>
            <w:r>
              <w:t xml:space="preserve"> in accordance with section 127 of the </w:t>
            </w:r>
            <w:r>
              <w:rPr>
                <w:iCs/>
              </w:rPr>
              <w:t>Corporations Act</w:t>
            </w:r>
            <w:r>
              <w:rPr>
                <w:i/>
              </w:rPr>
              <w:t xml:space="preserve"> </w:t>
            </w:r>
            <w:r>
              <w:t xml:space="preserve">by </w:t>
            </w:r>
            <w:r>
              <w:rPr>
                <w:b/>
              </w:rPr>
              <w:t>[</w:t>
            </w:r>
            <w:r>
              <w:rPr>
                <w:b/>
                <w:highlight w:val="yellow"/>
              </w:rPr>
              <w:t>insert name of Company with sole director</w:t>
            </w:r>
            <w:r>
              <w:rPr>
                <w:b/>
              </w:rPr>
              <w:t>]</w:t>
            </w:r>
            <w:r>
              <w:t>:</w:t>
            </w:r>
          </w:p>
        </w:tc>
      </w:tr>
      <w:tr w:rsidR="008A0561" w14:paraId="0E3AB45F" w14:textId="77777777">
        <w:trPr>
          <w:cantSplit/>
          <w:trHeight w:val="145"/>
        </w:trPr>
        <w:tc>
          <w:tcPr>
            <w:tcW w:w="4111" w:type="dxa"/>
          </w:tcPr>
          <w:p w14:paraId="1530DA7D" w14:textId="77777777" w:rsidR="008A0561" w:rsidRDefault="008A0561">
            <w:pPr>
              <w:spacing w:line="360" w:lineRule="auto"/>
              <w:ind w:left="-108"/>
            </w:pPr>
          </w:p>
        </w:tc>
      </w:tr>
      <w:tr w:rsidR="008A0561" w14:paraId="428501AD" w14:textId="77777777">
        <w:trPr>
          <w:cantSplit/>
          <w:trHeight w:val="150"/>
        </w:trPr>
        <w:tc>
          <w:tcPr>
            <w:tcW w:w="4111" w:type="dxa"/>
            <w:tcBorders>
              <w:top w:val="single" w:sz="4" w:space="0" w:color="auto"/>
            </w:tcBorders>
          </w:tcPr>
          <w:p w14:paraId="7D265482" w14:textId="77777777" w:rsidR="008A0561" w:rsidRDefault="008A0561">
            <w:pPr>
              <w:spacing w:line="360" w:lineRule="auto"/>
              <w:ind w:left="-108"/>
            </w:pPr>
            <w:r>
              <w:t>Sole Director and Sole Secretary Signature</w:t>
            </w:r>
          </w:p>
        </w:tc>
      </w:tr>
      <w:tr w:rsidR="008A0561" w14:paraId="662A98D4" w14:textId="77777777">
        <w:trPr>
          <w:cantSplit/>
        </w:trPr>
        <w:tc>
          <w:tcPr>
            <w:tcW w:w="4111" w:type="dxa"/>
          </w:tcPr>
          <w:p w14:paraId="039E2CD5" w14:textId="77777777" w:rsidR="008A0561" w:rsidRDefault="008A0561">
            <w:pPr>
              <w:rPr>
                <w:b/>
              </w:rPr>
            </w:pPr>
          </w:p>
        </w:tc>
      </w:tr>
      <w:tr w:rsidR="008A0561" w14:paraId="3093A6C7" w14:textId="77777777">
        <w:trPr>
          <w:cantSplit/>
        </w:trPr>
        <w:tc>
          <w:tcPr>
            <w:tcW w:w="4111" w:type="dxa"/>
            <w:tcBorders>
              <w:top w:val="single" w:sz="4" w:space="0" w:color="auto"/>
            </w:tcBorders>
          </w:tcPr>
          <w:p w14:paraId="0B35F8BA" w14:textId="77777777" w:rsidR="008A0561" w:rsidRDefault="008A0561">
            <w:pPr>
              <w:spacing w:line="360" w:lineRule="auto"/>
              <w:ind w:left="-108"/>
            </w:pPr>
            <w:r>
              <w:t>Print Name</w:t>
            </w:r>
          </w:p>
        </w:tc>
      </w:tr>
    </w:tbl>
    <w:p w14:paraId="2B71E468" w14:textId="77777777" w:rsidR="008A0561" w:rsidRDefault="008A0561">
      <w:pPr>
        <w:spacing w:before="0" w:after="200" w:line="276" w:lineRule="auto"/>
        <w:rPr>
          <w:rFonts w:cs="Arial"/>
          <w:b/>
        </w:rPr>
      </w:pPr>
    </w:p>
    <w:p w14:paraId="4B542187" w14:textId="77777777" w:rsidR="008A0561" w:rsidRDefault="008A0561"/>
    <w:p w14:paraId="75971746" w14:textId="77777777" w:rsidR="008A0561" w:rsidRDefault="008A0561"/>
    <w:p w14:paraId="4064D376" w14:textId="77777777" w:rsidR="008A0561" w:rsidRDefault="008A0561">
      <w:r>
        <w:rPr>
          <w:noProof/>
          <w:lang w:eastAsia="en-AU"/>
        </w:rPr>
        <w:lastRenderedPageBreak/>
        <mc:AlternateContent>
          <mc:Choice Requires="wps">
            <w:drawing>
              <wp:anchor distT="0" distB="0" distL="114300" distR="114300" simplePos="0" relativeHeight="251659264" behindDoc="0" locked="0" layoutInCell="1" allowOverlap="1" wp14:anchorId="0A67A167" wp14:editId="44A7B566">
                <wp:simplePos x="0" y="0"/>
                <wp:positionH relativeFrom="column">
                  <wp:posOffset>-3810</wp:posOffset>
                </wp:positionH>
                <wp:positionV relativeFrom="paragraph">
                  <wp:posOffset>62865</wp:posOffset>
                </wp:positionV>
                <wp:extent cx="5916930" cy="914400"/>
                <wp:effectExtent l="0" t="0" r="7620" b="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14400"/>
                        </a:xfrm>
                        <a:prstGeom prst="rect">
                          <a:avLst/>
                        </a:prstGeom>
                        <a:solidFill>
                          <a:schemeClr val="accent2">
                            <a:lumMod val="20000"/>
                            <a:lumOff val="80000"/>
                          </a:schemeClr>
                        </a:solidFill>
                        <a:ln w="6350">
                          <a:noFill/>
                        </a:ln>
                        <a:effectLst/>
                      </wps:spPr>
                      <wps:txbx>
                        <w:txbxContent>
                          <w:p w14:paraId="5A8AEBC1" w14:textId="77777777" w:rsidR="008A0561" w:rsidRPr="002F6F2D" w:rsidRDefault="008A0561">
                            <w:pPr>
                              <w:rPr>
                                <w:b/>
                                <w:color w:val="0074BF"/>
                              </w:rPr>
                            </w:pPr>
                            <w:r w:rsidRPr="002F6F2D">
                              <w:rPr>
                                <w:b/>
                                <w:color w:val="0074BF"/>
                              </w:rPr>
                              <w:t>Guidance note</w:t>
                            </w:r>
                          </w:p>
                          <w:p w14:paraId="1E8334B1" w14:textId="77777777" w:rsidR="008A0561" w:rsidRDefault="008A0561">
                            <w:r>
                              <w:t>If the Investor is an individual, substitute the above execution blocks with the execution block below.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anchor>
            </w:drawing>
          </mc:Choice>
          <mc:Fallback>
            <w:pict>
              <v:shape w14:anchorId="0A67A167" id="Text Box 28" o:spid="_x0000_s1037" type="#_x0000_t202" style="position:absolute;margin-left:-.3pt;margin-top:4.95pt;width:465.9pt;height:1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" fillcolor="#dadfe4 [661]" stroked="f" strokeweight=".5pt">
                <v:textbox inset=",0">
                  <w:txbxContent>
                    <w:p w14:paraId="5A8AEBC1" w14:textId="77777777" w:rsidR="008A0561" w:rsidRPr="002F6F2D" w:rsidRDefault="008A0561">
                      <w:pPr>
                        <w:rPr>
                          <w:b/>
                          <w:color w:val="0074BF"/>
                        </w:rPr>
                      </w:pPr>
                      <w:r w:rsidRPr="002F6F2D">
                        <w:rPr>
                          <w:b/>
                          <w:color w:val="0074BF"/>
                        </w:rPr>
                        <w:t>Guidance note</w:t>
                      </w:r>
                    </w:p>
                    <w:p w14:paraId="1E8334B1" w14:textId="77777777" w:rsidR="008A0561" w:rsidRDefault="008A0561">
                      <w:r>
                        <w:t>If the Investor is an individual, substitute the above execution blocks with the execution block below. Otherwise, delete the following execution block.</w:t>
                      </w:r>
                    </w:p>
                  </w:txbxContent>
                </v:textbox>
                <w10:wrap type="square"/>
              </v:shape>
            </w:pict>
          </mc:Fallback>
        </mc:AlternateContent>
      </w:r>
    </w:p>
    <w:tbl>
      <w:tblPr>
        <w:tblW w:w="0" w:type="auto"/>
        <w:tblLayout w:type="fixed"/>
        <w:tblLook w:val="0000" w:firstRow="0" w:lastRow="0" w:firstColumn="0" w:lastColumn="0" w:noHBand="0" w:noVBand="0"/>
      </w:tblPr>
      <w:tblGrid>
        <w:gridCol w:w="4077"/>
        <w:gridCol w:w="567"/>
        <w:gridCol w:w="4111"/>
      </w:tblGrid>
      <w:tr w:rsidR="008A0561" w14:paraId="7FE53CB3" w14:textId="77777777">
        <w:trPr>
          <w:gridAfter w:val="2"/>
          <w:wAfter w:w="4678" w:type="dxa"/>
          <w:trHeight w:val="1309"/>
        </w:trPr>
        <w:tc>
          <w:tcPr>
            <w:tcW w:w="4077" w:type="dxa"/>
          </w:tcPr>
          <w:p w14:paraId="77113998" w14:textId="77777777" w:rsidR="008A0561" w:rsidRDefault="008A0561">
            <w:pPr>
              <w:rPr>
                <w:b/>
                <w:snapToGrid w:val="0"/>
              </w:rPr>
            </w:pPr>
          </w:p>
          <w:p w14:paraId="6ADB735A" w14:textId="77777777" w:rsidR="008A0561" w:rsidRDefault="008A0561">
            <w:pPr>
              <w:rPr>
                <w:snapToGrid w:val="0"/>
              </w:rPr>
            </w:pPr>
            <w:r>
              <w:rPr>
                <w:b/>
                <w:snapToGrid w:val="0"/>
              </w:rPr>
              <w:t xml:space="preserve">Signed </w:t>
            </w:r>
            <w:r>
              <w:rPr>
                <w:snapToGrid w:val="0"/>
              </w:rPr>
              <w:t xml:space="preserve">by </w:t>
            </w:r>
            <w:r>
              <w:rPr>
                <w:b/>
                <w:snapToGrid w:val="0"/>
              </w:rPr>
              <w:t>[</w:t>
            </w:r>
            <w:r>
              <w:rPr>
                <w:b/>
                <w:snapToGrid w:val="0"/>
                <w:highlight w:val="yellow"/>
              </w:rPr>
              <w:t>insert name of Investor</w:t>
            </w:r>
            <w:r>
              <w:rPr>
                <w:b/>
                <w:snapToGrid w:val="0"/>
              </w:rPr>
              <w:t>]</w:t>
            </w:r>
            <w:r>
              <w:rPr>
                <w:snapToGrid w:val="0"/>
              </w:rPr>
              <w:t xml:space="preserve"> in the presence of:</w:t>
            </w:r>
          </w:p>
        </w:tc>
      </w:tr>
      <w:tr w:rsidR="008A0561" w14:paraId="502CD4E7" w14:textId="77777777">
        <w:trPr>
          <w:gridAfter w:val="2"/>
          <w:wAfter w:w="4678" w:type="dxa"/>
        </w:trPr>
        <w:tc>
          <w:tcPr>
            <w:tcW w:w="4077" w:type="dxa"/>
            <w:tcBorders>
              <w:bottom w:val="single" w:sz="4" w:space="0" w:color="auto"/>
            </w:tcBorders>
          </w:tcPr>
          <w:p w14:paraId="1856ACB8" w14:textId="77777777" w:rsidR="008A0561" w:rsidRDefault="008A0561">
            <w:pPr>
              <w:rPr>
                <w:snapToGrid w:val="0"/>
              </w:rPr>
            </w:pPr>
          </w:p>
        </w:tc>
      </w:tr>
      <w:tr w:rsidR="008A0561" w14:paraId="261E9528" w14:textId="77777777">
        <w:trPr>
          <w:cantSplit/>
        </w:trPr>
        <w:tc>
          <w:tcPr>
            <w:tcW w:w="4077" w:type="dxa"/>
          </w:tcPr>
          <w:p w14:paraId="62F07563" w14:textId="77777777" w:rsidR="008A0561" w:rsidRDefault="008A0561">
            <w:pPr>
              <w:rPr>
                <w:snapToGrid w:val="0"/>
              </w:rPr>
            </w:pPr>
            <w:r>
              <w:rPr>
                <w:snapToGrid w:val="0"/>
              </w:rPr>
              <w:t>Witness Signature</w:t>
            </w:r>
          </w:p>
        </w:tc>
        <w:tc>
          <w:tcPr>
            <w:tcW w:w="567" w:type="dxa"/>
            <w:vMerge w:val="restart"/>
          </w:tcPr>
          <w:p w14:paraId="3DD43E24" w14:textId="77777777" w:rsidR="008A0561" w:rsidRDefault="008A0561">
            <w:pPr>
              <w:rPr>
                <w:snapToGrid w:val="0"/>
              </w:rPr>
            </w:pPr>
          </w:p>
        </w:tc>
        <w:tc>
          <w:tcPr>
            <w:tcW w:w="4111" w:type="dxa"/>
            <w:tcBorders>
              <w:top w:val="single" w:sz="4" w:space="0" w:color="auto"/>
            </w:tcBorders>
          </w:tcPr>
          <w:p w14:paraId="1260C97E" w14:textId="77777777" w:rsidR="008A0561" w:rsidRDefault="008A0561">
            <w:pPr>
              <w:rPr>
                <w:snapToGrid w:val="0"/>
              </w:rPr>
            </w:pPr>
            <w:r>
              <w:rPr>
                <w:snapToGrid w:val="0"/>
              </w:rPr>
              <w:t>Signature</w:t>
            </w:r>
          </w:p>
        </w:tc>
      </w:tr>
      <w:tr w:rsidR="008A0561" w14:paraId="34A9A7BA" w14:textId="77777777">
        <w:trPr>
          <w:cantSplit/>
        </w:trPr>
        <w:tc>
          <w:tcPr>
            <w:tcW w:w="4077" w:type="dxa"/>
            <w:tcBorders>
              <w:bottom w:val="single" w:sz="4" w:space="0" w:color="auto"/>
            </w:tcBorders>
          </w:tcPr>
          <w:p w14:paraId="7E4CE3B6" w14:textId="77777777" w:rsidR="008A0561" w:rsidRDefault="008A0561">
            <w:pPr>
              <w:rPr>
                <w:snapToGrid w:val="0"/>
              </w:rPr>
            </w:pPr>
          </w:p>
        </w:tc>
        <w:tc>
          <w:tcPr>
            <w:tcW w:w="567" w:type="dxa"/>
            <w:vMerge/>
          </w:tcPr>
          <w:p w14:paraId="66C8C88F" w14:textId="77777777" w:rsidR="008A0561" w:rsidRDefault="008A0561">
            <w:pPr>
              <w:rPr>
                <w:snapToGrid w:val="0"/>
              </w:rPr>
            </w:pPr>
          </w:p>
        </w:tc>
        <w:tc>
          <w:tcPr>
            <w:tcW w:w="4111" w:type="dxa"/>
            <w:vMerge w:val="restart"/>
          </w:tcPr>
          <w:p w14:paraId="3FC2F123" w14:textId="77777777" w:rsidR="008A0561" w:rsidRDefault="008A0561">
            <w:pPr>
              <w:rPr>
                <w:snapToGrid w:val="0"/>
              </w:rPr>
            </w:pPr>
          </w:p>
        </w:tc>
      </w:tr>
      <w:tr w:rsidR="008A0561" w14:paraId="696EBF11" w14:textId="77777777">
        <w:trPr>
          <w:cantSplit/>
        </w:trPr>
        <w:tc>
          <w:tcPr>
            <w:tcW w:w="4077" w:type="dxa"/>
          </w:tcPr>
          <w:p w14:paraId="6B946681" w14:textId="77777777" w:rsidR="008A0561" w:rsidRDefault="008A0561">
            <w:pPr>
              <w:rPr>
                <w:snapToGrid w:val="0"/>
              </w:rPr>
            </w:pPr>
            <w:r>
              <w:rPr>
                <w:snapToGrid w:val="0"/>
              </w:rPr>
              <w:t>Print Name</w:t>
            </w:r>
          </w:p>
        </w:tc>
        <w:tc>
          <w:tcPr>
            <w:tcW w:w="567" w:type="dxa"/>
            <w:vMerge/>
          </w:tcPr>
          <w:p w14:paraId="372D5E32" w14:textId="77777777" w:rsidR="008A0561" w:rsidRDefault="008A0561">
            <w:pPr>
              <w:rPr>
                <w:snapToGrid w:val="0"/>
              </w:rPr>
            </w:pPr>
          </w:p>
        </w:tc>
        <w:tc>
          <w:tcPr>
            <w:tcW w:w="4111" w:type="dxa"/>
            <w:vMerge/>
          </w:tcPr>
          <w:p w14:paraId="62837D67" w14:textId="77777777" w:rsidR="008A0561" w:rsidRDefault="008A0561">
            <w:pPr>
              <w:rPr>
                <w:snapToGrid w:val="0"/>
              </w:rPr>
            </w:pPr>
          </w:p>
        </w:tc>
      </w:tr>
    </w:tbl>
    <w:p w14:paraId="58A4E988" w14:textId="77777777" w:rsidR="008A0561" w:rsidRDefault="008A0561"/>
    <w:bookmarkEnd w:id="0"/>
    <w:p w14:paraId="6ABD2F24" w14:textId="77777777" w:rsidR="008A0561" w:rsidRDefault="008A0561">
      <w:pPr>
        <w:spacing w:before="0" w:after="200" w:line="276" w:lineRule="auto"/>
        <w:rPr>
          <w:rFonts w:cs="Arial"/>
        </w:rPr>
      </w:pPr>
    </w:p>
    <w:sectPr w:rsidR="008A0561" w:rsidSect="008A0561">
      <w:headerReference w:type="even" r:id="rId22"/>
      <w:footerReference w:type="default" r:id="rId23"/>
      <w:footerReference w:type="first" r:id="rId24"/>
      <w:pgSz w:w="11907" w:h="16840" w:code="9"/>
      <w:pgMar w:top="1701" w:right="1134" w:bottom="1134" w:left="1418" w:header="567"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B86C87" w14:textId="77777777" w:rsidR="00BC4E57" w:rsidRDefault="00BC4E57">
      <w:pPr>
        <w:spacing w:before="0" w:line="240" w:lineRule="auto"/>
      </w:pPr>
      <w:r>
        <w:separator/>
      </w:r>
    </w:p>
  </w:endnote>
  <w:endnote w:type="continuationSeparator" w:id="0">
    <w:p w14:paraId="3575F1C9" w14:textId="77777777" w:rsidR="00BC4E57" w:rsidRDefault="00BC4E57">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old">
    <w:altName w:val="Arial"/>
    <w:panose1 w:val="00000000000000000000"/>
    <w:charset w:val="00"/>
    <w:family w:val="auto"/>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82204" w14:textId="793183FA" w:rsidR="004810B5" w:rsidRDefault="004810B5">
    <w:pPr>
      <w:pStyle w:val="Footer"/>
      <w:jc w:val="right"/>
    </w:pPr>
  </w:p>
  <w:p w14:paraId="7C1DB2FE" w14:textId="77777777" w:rsidR="004810B5" w:rsidRDefault="004810B5">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64576" w14:textId="77777777" w:rsidR="003D4825" w:rsidRDefault="003D48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1EAE5" w14:textId="77777777" w:rsidR="003D4825" w:rsidRDefault="003D482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B9BFE" w14:textId="77777777" w:rsidR="003D4825" w:rsidRDefault="003D482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A6878" w14:textId="77777777" w:rsidR="004E5DD7" w:rsidRPr="004E5DD7" w:rsidRDefault="004E5DD7">
    <w:pPr>
      <w:pStyle w:val="Footer"/>
      <w:jc w:val="right"/>
      <w:rPr>
        <w:szCs w:val="16"/>
      </w:rPr>
    </w:pPr>
    <w:r w:rsidRPr="004E5DD7">
      <w:rPr>
        <w:szCs w:val="16"/>
      </w:rPr>
      <w:fldChar w:fldCharType="begin"/>
    </w:r>
    <w:r w:rsidRPr="004E5DD7">
      <w:rPr>
        <w:szCs w:val="16"/>
      </w:rPr>
      <w:instrText xml:space="preserve"> PAGE  \* roman </w:instrText>
    </w:r>
    <w:r w:rsidRPr="004E5DD7">
      <w:rPr>
        <w:szCs w:val="16"/>
      </w:rPr>
      <w:fldChar w:fldCharType="separate"/>
    </w:r>
    <w:r w:rsidRPr="004E5DD7">
      <w:rPr>
        <w:noProof/>
        <w:szCs w:val="16"/>
      </w:rPr>
      <w:t>i</w:t>
    </w:r>
    <w:r w:rsidRPr="004E5DD7">
      <w:rPr>
        <w:szCs w:val="16"/>
      </w:rPr>
      <w:fldChar w:fldCharType="end"/>
    </w:r>
  </w:p>
  <w:p w14:paraId="57566D41" w14:textId="77777777" w:rsidR="00366153" w:rsidRDefault="003661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Borders>
        <w:top w:val="single" w:sz="4" w:space="0" w:color="auto"/>
      </w:tblBorders>
      <w:tblLayout w:type="fixed"/>
      <w:tblCellMar>
        <w:left w:w="0" w:type="dxa"/>
        <w:right w:w="0" w:type="dxa"/>
      </w:tblCellMar>
      <w:tblLook w:val="0000" w:firstRow="0" w:lastRow="0" w:firstColumn="0" w:lastColumn="0" w:noHBand="0" w:noVBand="0"/>
    </w:tblPr>
    <w:tblGrid>
      <w:gridCol w:w="7088"/>
      <w:gridCol w:w="2268"/>
    </w:tblGrid>
    <w:tr w:rsidR="00366153" w14:paraId="33F63DA5" w14:textId="77777777">
      <w:tc>
        <w:tcPr>
          <w:tcW w:w="7088" w:type="dxa"/>
        </w:tcPr>
        <w:p w14:paraId="1CD64C3B" w14:textId="12492277" w:rsidR="00366153" w:rsidRDefault="00E57E1B">
          <w:pPr>
            <w:pStyle w:val="Footer"/>
          </w:pPr>
          <w:fldSimple w:instr=" DOCPROPERTY iManageDocFooter \* MERGEFORMAT ">
            <w:r>
              <w:t>MNZS 811299444v6 MNZS</w:t>
            </w:r>
          </w:fldSimple>
          <w:r w:rsidR="00982068">
            <w:t xml:space="preserve">    </w:t>
          </w:r>
          <w:r w:rsidR="00982068">
            <w:fldChar w:fldCharType="begin"/>
          </w:r>
          <w:r w:rsidR="00982068">
            <w:instrText xml:space="preserve"> SAVEDATE \@ "d.M.yyyy" \* MERGEFORMAT </w:instrText>
          </w:r>
          <w:r w:rsidR="00982068">
            <w:fldChar w:fldCharType="separate"/>
          </w:r>
          <w:r w:rsidR="00D9605A">
            <w:rPr>
              <w:noProof/>
            </w:rPr>
            <w:t>11.2.2025</w:t>
          </w:r>
          <w:r w:rsidR="00982068">
            <w:fldChar w:fldCharType="end"/>
          </w:r>
        </w:p>
      </w:tc>
      <w:tc>
        <w:tcPr>
          <w:tcW w:w="2268" w:type="dxa"/>
        </w:tcPr>
        <w:p w14:paraId="64372E40" w14:textId="77777777" w:rsidR="00366153" w:rsidRDefault="00982068">
          <w:pPr>
            <w:pStyle w:val="Footer"/>
            <w:jc w:val="right"/>
          </w:pPr>
          <w:r>
            <w:rPr>
              <w:snapToGrid w:val="0"/>
            </w:rPr>
            <w:t>page (</w:t>
          </w:r>
          <w:r>
            <w:rPr>
              <w:snapToGrid w:val="0"/>
            </w:rPr>
            <w:fldChar w:fldCharType="begin"/>
          </w:r>
          <w:r>
            <w:rPr>
              <w:snapToGrid w:val="0"/>
            </w:rPr>
            <w:instrText xml:space="preserve"> PAGE </w:instrText>
          </w:r>
          <w:r>
            <w:rPr>
              <w:snapToGrid w:val="0"/>
            </w:rPr>
            <w:fldChar w:fldCharType="separate"/>
          </w:r>
          <w:r>
            <w:rPr>
              <w:noProof/>
              <w:snapToGrid w:val="0"/>
            </w:rPr>
            <w:t>1</w:t>
          </w:r>
          <w:r>
            <w:rPr>
              <w:snapToGrid w:val="0"/>
            </w:rPr>
            <w:fldChar w:fldCharType="end"/>
          </w:r>
          <w:r>
            <w:rPr>
              <w:snapToGrid w:val="0"/>
            </w:rPr>
            <w:t>)</w:t>
          </w:r>
        </w:p>
      </w:tc>
    </w:tr>
  </w:tbl>
  <w:p w14:paraId="08A7A81B" w14:textId="77777777" w:rsidR="00366153" w:rsidRDefault="0036615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9B14" w14:textId="77777777" w:rsidR="004E5DD7" w:rsidRPr="004E5DD7" w:rsidRDefault="004E5DD7">
    <w:pPr>
      <w:pStyle w:val="Footer"/>
      <w:jc w:val="right"/>
      <w:rPr>
        <w:szCs w:val="16"/>
      </w:rPr>
    </w:pPr>
    <w:r w:rsidRPr="004E5DD7">
      <w:rPr>
        <w:szCs w:val="16"/>
      </w:rPr>
      <w:fldChar w:fldCharType="begin"/>
    </w:r>
    <w:r w:rsidRPr="004E5DD7">
      <w:rPr>
        <w:szCs w:val="16"/>
      </w:rPr>
      <w:instrText xml:space="preserve"> PAGE  \* Arabic </w:instrText>
    </w:r>
    <w:r w:rsidRPr="004E5DD7">
      <w:rPr>
        <w:szCs w:val="16"/>
      </w:rPr>
      <w:fldChar w:fldCharType="separate"/>
    </w:r>
    <w:r w:rsidRPr="004E5DD7">
      <w:rPr>
        <w:noProof/>
        <w:szCs w:val="16"/>
      </w:rPr>
      <w:t>1</w:t>
    </w:r>
    <w:r w:rsidRPr="004E5DD7">
      <w:rPr>
        <w:szCs w:val="16"/>
      </w:rPr>
      <w:fldChar w:fldCharType="end"/>
    </w:r>
  </w:p>
  <w:p w14:paraId="003A2A48" w14:textId="77777777" w:rsidR="00366153" w:rsidRDefault="003661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Borders>
        <w:top w:val="single" w:sz="4" w:space="0" w:color="auto"/>
      </w:tblBorders>
      <w:tblLayout w:type="fixed"/>
      <w:tblCellMar>
        <w:left w:w="0" w:type="dxa"/>
        <w:right w:w="0" w:type="dxa"/>
      </w:tblCellMar>
      <w:tblLook w:val="0000" w:firstRow="0" w:lastRow="0" w:firstColumn="0" w:lastColumn="0" w:noHBand="0" w:noVBand="0"/>
    </w:tblPr>
    <w:tblGrid>
      <w:gridCol w:w="7088"/>
      <w:gridCol w:w="2268"/>
    </w:tblGrid>
    <w:tr w:rsidR="00366153" w14:paraId="1132369D" w14:textId="77777777">
      <w:tc>
        <w:tcPr>
          <w:tcW w:w="7088" w:type="dxa"/>
        </w:tcPr>
        <w:p w14:paraId="6438F7E7" w14:textId="0DCF111B" w:rsidR="00366153" w:rsidRDefault="00E57E1B">
          <w:pPr>
            <w:pStyle w:val="Footer"/>
          </w:pPr>
          <w:fldSimple w:instr=" DOCPROPERTY iManageDocFooter \* MERGEFORMAT ">
            <w:r>
              <w:t>MNZS 811299444v6 MNZS</w:t>
            </w:r>
          </w:fldSimple>
          <w:r w:rsidR="00982068">
            <w:t xml:space="preserve">    </w:t>
          </w:r>
          <w:r w:rsidR="00982068">
            <w:fldChar w:fldCharType="begin"/>
          </w:r>
          <w:r w:rsidR="00982068">
            <w:instrText xml:space="preserve"> SAVEDATE \@ "d.M.yyyy" \* MERGEFORMAT </w:instrText>
          </w:r>
          <w:r w:rsidR="00982068">
            <w:fldChar w:fldCharType="separate"/>
          </w:r>
          <w:r w:rsidR="00D9605A">
            <w:rPr>
              <w:noProof/>
            </w:rPr>
            <w:t>11.2.2025</w:t>
          </w:r>
          <w:r w:rsidR="00982068">
            <w:fldChar w:fldCharType="end"/>
          </w:r>
        </w:p>
      </w:tc>
      <w:tc>
        <w:tcPr>
          <w:tcW w:w="2268" w:type="dxa"/>
        </w:tcPr>
        <w:p w14:paraId="788B4064" w14:textId="77777777" w:rsidR="00366153" w:rsidRDefault="00982068">
          <w:pPr>
            <w:pStyle w:val="Footer"/>
            <w:jc w:val="right"/>
          </w:pPr>
          <w:r>
            <w:rPr>
              <w:snapToGrid w:val="0"/>
            </w:rPr>
            <w:t xml:space="preserve">page </w:t>
          </w:r>
          <w:r>
            <w:rPr>
              <w:snapToGrid w:val="0"/>
            </w:rPr>
            <w:fldChar w:fldCharType="begin"/>
          </w:r>
          <w:r>
            <w:rPr>
              <w:snapToGrid w:val="0"/>
            </w:rPr>
            <w:instrText xml:space="preserve"> PAGE </w:instrText>
          </w:r>
          <w:r>
            <w:rPr>
              <w:snapToGrid w:val="0"/>
            </w:rPr>
            <w:fldChar w:fldCharType="separate"/>
          </w:r>
          <w:r>
            <w:rPr>
              <w:noProof/>
              <w:snapToGrid w:val="0"/>
            </w:rPr>
            <w:t>1</w:t>
          </w:r>
          <w:r>
            <w:rPr>
              <w:snapToGrid w:val="0"/>
            </w:rPr>
            <w:fldChar w:fldCharType="end"/>
          </w:r>
        </w:p>
      </w:tc>
    </w:tr>
  </w:tbl>
  <w:p w14:paraId="4E65E94B" w14:textId="77777777" w:rsidR="00366153" w:rsidRDefault="003661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E4E22A" w14:textId="77777777" w:rsidR="00BC4E57" w:rsidRDefault="00BC4E57">
      <w:pPr>
        <w:spacing w:before="0" w:line="240" w:lineRule="auto"/>
      </w:pPr>
      <w:r>
        <w:separator/>
      </w:r>
    </w:p>
  </w:footnote>
  <w:footnote w:type="continuationSeparator" w:id="0">
    <w:p w14:paraId="0B800243" w14:textId="77777777" w:rsidR="00BC4E57" w:rsidRDefault="00BC4E57">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4810B5" w:rsidRPr="0077043A" w14:paraId="5AAB2D44" w14:textId="77777777" w:rsidTr="00EF4A30">
      <w:trPr>
        <w:trHeight w:hRule="exact" w:val="900"/>
      </w:trPr>
      <w:tc>
        <w:tcPr>
          <w:tcW w:w="6946" w:type="dxa"/>
          <w:vAlign w:val="bottom"/>
        </w:tcPr>
        <w:p w14:paraId="70E6E0BE" w14:textId="77777777" w:rsidR="004810B5" w:rsidRDefault="00DC5222" w:rsidP="00965727">
          <w:pPr>
            <w:pStyle w:val="HeaderTitle"/>
          </w:pPr>
          <w:r>
            <w:t>Simple Agreement for Future Equity (SAFE)</w:t>
          </w:r>
        </w:p>
      </w:tc>
      <w:tc>
        <w:tcPr>
          <w:tcW w:w="2410" w:type="dxa"/>
          <w:vAlign w:val="bottom"/>
        </w:tcPr>
        <w:p w14:paraId="6448DF4B" w14:textId="254E70AA" w:rsidR="004810B5" w:rsidRPr="006A4582" w:rsidRDefault="00BC4E57" w:rsidP="00965727">
          <w:pPr>
            <w:jc w:val="center"/>
            <w:rPr>
              <w:rFonts w:ascii="Times New Roman" w:hAnsi="Times New Roman"/>
            </w:rPr>
          </w:pPr>
          <w:r>
            <w:rPr>
              <w:rFonts w:ascii="Times New Roman" w:hAnsi="Times New Roman"/>
              <w:noProof/>
            </w:rPr>
            <w:drawing>
              <wp:anchor distT="0" distB="0" distL="114300" distR="114300" simplePos="0" relativeHeight="251668480" behindDoc="1" locked="0" layoutInCell="1" allowOverlap="1" wp14:anchorId="4D44DDD5" wp14:editId="0A53C6FF">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3F46E8E" w14:textId="28FF88BB" w:rsidR="004810B5" w:rsidRPr="00965727" w:rsidRDefault="004810B5"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76496" w14:textId="13881A50" w:rsidR="004810B5" w:rsidRDefault="004810B5">
    <w:pPr>
      <w:pStyle w:val="Header"/>
    </w:pPr>
    <w:r>
      <w:rPr>
        <w:noProof/>
        <w:color w:val="0074BF" w:themeColor="text2"/>
        <w:sz w:val="40"/>
        <w:szCs w:val="40"/>
      </w:rPr>
      <w:drawing>
        <wp:anchor distT="0" distB="0" distL="114300" distR="114300" simplePos="0" relativeHeight="251659264" behindDoc="1" locked="1" layoutInCell="1" allowOverlap="1" wp14:anchorId="45D1B423" wp14:editId="57E11E49">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4E57">
      <w:rPr>
        <w:noProof/>
        <w:color w:val="0074BF" w:themeColor="text2"/>
        <w:sz w:val="40"/>
        <w:szCs w:val="40"/>
      </w:rPr>
      <mc:AlternateContent>
        <mc:Choice Requires="wpg">
          <w:drawing>
            <wp:anchor distT="0" distB="0" distL="114300" distR="114300" simplePos="0" relativeHeight="251674624" behindDoc="0" locked="0" layoutInCell="1" allowOverlap="1" wp14:anchorId="67663199" wp14:editId="7C3388F9">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8B42FB3" id="Group 1" o:spid="_x0000_s1026" style="position:absolute;margin-left:56.7pt;margin-top:47.9pt;width:485.3pt;height:47.05pt;z-index:251674624;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BCD72" w14:textId="77777777" w:rsidR="003D4825" w:rsidRDefault="003D482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3593F" w14:textId="77777777" w:rsidR="00366153" w:rsidRDefault="00366153">
    <w:pPr>
      <w:spacing w:before="0" w:line="240" w:lineRule="auto"/>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DC5222" w:rsidRPr="0077043A" w14:paraId="408279F4" w14:textId="77777777" w:rsidTr="009D6D11">
      <w:trPr>
        <w:trHeight w:hRule="exact" w:val="900"/>
      </w:trPr>
      <w:tc>
        <w:tcPr>
          <w:tcW w:w="6946" w:type="dxa"/>
          <w:vAlign w:val="bottom"/>
        </w:tcPr>
        <w:p w14:paraId="59834AF4" w14:textId="77777777" w:rsidR="00DC5222" w:rsidRDefault="00DC5222" w:rsidP="00DC5222">
          <w:pPr>
            <w:pStyle w:val="HeaderTitle"/>
          </w:pPr>
          <w:r>
            <w:t>Simple Agreement for Future Equity (SAFE)</w:t>
          </w:r>
        </w:p>
      </w:tc>
      <w:tc>
        <w:tcPr>
          <w:tcW w:w="2410" w:type="dxa"/>
          <w:vAlign w:val="bottom"/>
        </w:tcPr>
        <w:p w14:paraId="1CDF606A" w14:textId="3A15BB21" w:rsidR="00DC5222" w:rsidRPr="006A4582" w:rsidRDefault="00BC4E57" w:rsidP="00DC5222">
          <w:pPr>
            <w:jc w:val="center"/>
            <w:rPr>
              <w:rFonts w:ascii="Times New Roman" w:hAnsi="Times New Roman"/>
            </w:rPr>
          </w:pPr>
          <w:r>
            <w:rPr>
              <w:rFonts w:ascii="Times New Roman" w:hAnsi="Times New Roman"/>
              <w:noProof/>
            </w:rPr>
            <w:drawing>
              <wp:anchor distT="0" distB="0" distL="114300" distR="114300" simplePos="0" relativeHeight="251670528" behindDoc="1" locked="0" layoutInCell="1" allowOverlap="1" wp14:anchorId="6EB8BC53" wp14:editId="46F4F7D0">
                <wp:simplePos x="0" y="0"/>
                <wp:positionH relativeFrom="page">
                  <wp:posOffset>252095</wp:posOffset>
                </wp:positionH>
                <wp:positionV relativeFrom="page">
                  <wp:posOffset>133350</wp:posOffset>
                </wp:positionV>
                <wp:extent cx="1296000" cy="417600"/>
                <wp:effectExtent l="0" t="0" r="0" b="1905"/>
                <wp:wrapNone/>
                <wp:docPr id="1126361692"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88D6F5D" w14:textId="4B05E167" w:rsidR="00DC5222" w:rsidRPr="00965727" w:rsidRDefault="00DC5222" w:rsidP="00DC5222">
    <w:pPr>
      <w:pStyle w:val="Header"/>
    </w:pPr>
  </w:p>
  <w:p w14:paraId="14F627F1" w14:textId="77777777" w:rsidR="00366153" w:rsidRDefault="00366153">
    <w:pPr>
      <w:pStyle w:val="Header"/>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DC5222" w:rsidRPr="0077043A" w14:paraId="277B2B32" w14:textId="77777777" w:rsidTr="009D6D11">
      <w:trPr>
        <w:trHeight w:hRule="exact" w:val="900"/>
      </w:trPr>
      <w:tc>
        <w:tcPr>
          <w:tcW w:w="6946" w:type="dxa"/>
          <w:vAlign w:val="bottom"/>
        </w:tcPr>
        <w:p w14:paraId="0FA5160B" w14:textId="77777777" w:rsidR="00DC5222" w:rsidRDefault="00DC5222" w:rsidP="00DC5222">
          <w:pPr>
            <w:pStyle w:val="HeaderTitle"/>
          </w:pPr>
          <w:r>
            <w:t>Simple Agreement for Future Equity (SAFE)</w:t>
          </w:r>
        </w:p>
      </w:tc>
      <w:tc>
        <w:tcPr>
          <w:tcW w:w="2410" w:type="dxa"/>
          <w:vAlign w:val="bottom"/>
        </w:tcPr>
        <w:p w14:paraId="4B4B6C00" w14:textId="03EDCFCD" w:rsidR="00DC5222" w:rsidRPr="006A4582" w:rsidRDefault="00BC4E57" w:rsidP="00DC5222">
          <w:pPr>
            <w:jc w:val="center"/>
            <w:rPr>
              <w:rFonts w:ascii="Times New Roman" w:hAnsi="Times New Roman"/>
            </w:rPr>
          </w:pPr>
          <w:r>
            <w:rPr>
              <w:rFonts w:ascii="Times New Roman" w:hAnsi="Times New Roman"/>
              <w:noProof/>
            </w:rPr>
            <w:drawing>
              <wp:anchor distT="0" distB="0" distL="114300" distR="114300" simplePos="0" relativeHeight="251672576" behindDoc="1" locked="0" layoutInCell="1" allowOverlap="1" wp14:anchorId="5549AF95" wp14:editId="3D5584A8">
                <wp:simplePos x="0" y="0"/>
                <wp:positionH relativeFrom="page">
                  <wp:posOffset>252095</wp:posOffset>
                </wp:positionH>
                <wp:positionV relativeFrom="page">
                  <wp:posOffset>133350</wp:posOffset>
                </wp:positionV>
                <wp:extent cx="1296000" cy="417600"/>
                <wp:effectExtent l="0" t="0" r="0" b="1905"/>
                <wp:wrapNone/>
                <wp:docPr id="1524213993"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B34E5EC" w14:textId="3ED3C1D3" w:rsidR="00DC5222" w:rsidRPr="00965727" w:rsidRDefault="00DC5222" w:rsidP="00DC5222">
    <w:pPr>
      <w:pStyle w:val="Header"/>
    </w:pPr>
  </w:p>
  <w:p w14:paraId="77655085" w14:textId="77777777" w:rsidR="00366153" w:rsidRDefault="00366153">
    <w:pPr>
      <w:pStyle w:val="Head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7053"/>
      <w:gridCol w:w="2303"/>
    </w:tblGrid>
    <w:tr w:rsidR="00366153" w14:paraId="6EC58D0E" w14:textId="77777777">
      <w:trPr>
        <w:trHeight w:hRule="exact" w:val="900"/>
      </w:trPr>
      <w:tc>
        <w:tcPr>
          <w:tcW w:w="6946" w:type="dxa"/>
          <w:vAlign w:val="bottom"/>
        </w:tcPr>
        <w:p w14:paraId="01062455" w14:textId="0D485E8B" w:rsidR="00366153" w:rsidRDefault="00982068">
          <w:pPr>
            <w:pStyle w:val="HeaderTitle"/>
          </w:pPr>
          <w:r>
            <w:fldChar w:fldCharType="begin"/>
          </w:r>
          <w:r>
            <w:instrText xml:space="preserve"> REF \* CHARFORMAT AgreementTitle \h  \* MERGEFORMAT </w:instrText>
          </w:r>
          <w:r>
            <w:fldChar w:fldCharType="separate"/>
          </w:r>
          <w:r w:rsidR="00E57E1B">
            <w:rPr>
              <w:b/>
              <w:bCs/>
              <w:lang w:val="en-US"/>
            </w:rPr>
            <w:t>Error! Reference source not found.</w:t>
          </w:r>
          <w:r>
            <w:fldChar w:fldCharType="end"/>
          </w:r>
        </w:p>
      </w:tc>
      <w:tc>
        <w:tcPr>
          <w:tcW w:w="2268" w:type="dxa"/>
          <w:vAlign w:val="bottom"/>
        </w:tcPr>
        <w:p w14:paraId="63AC9463" w14:textId="77777777" w:rsidR="00366153" w:rsidRDefault="00982068">
          <w:pPr>
            <w:jc w:val="right"/>
          </w:pPr>
          <w:r>
            <w:rPr>
              <w:noProof/>
              <w:lang w:eastAsia="en-AU"/>
            </w:rPr>
            <w:drawing>
              <wp:inline distT="0" distB="0" distL="0" distR="0" wp14:anchorId="6B1E60DB" wp14:editId="0776919F">
                <wp:extent cx="1442085" cy="132080"/>
                <wp:effectExtent l="0" t="0" r="5715" b="1270"/>
                <wp:docPr id="10" name="Picture 10" descr="Allens_Logo_Pos_rgb 4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ens_Logo_Pos_rgb 40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2085" cy="132080"/>
                        </a:xfrm>
                        <a:prstGeom prst="rect">
                          <a:avLst/>
                        </a:prstGeom>
                        <a:noFill/>
                        <a:ln>
                          <a:noFill/>
                        </a:ln>
                      </pic:spPr>
                    </pic:pic>
                  </a:graphicData>
                </a:graphic>
              </wp:inline>
            </w:drawing>
          </w:r>
        </w:p>
      </w:tc>
    </w:tr>
  </w:tbl>
  <w:p w14:paraId="2BC13764" w14:textId="77777777" w:rsidR="00366153" w:rsidRDefault="00366153">
    <w:pPr>
      <w:pStyle w:val="Header"/>
      <w:rPr>
        <w:sz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662A0" w14:textId="77777777" w:rsidR="00366153" w:rsidRDefault="003661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 w15:restartNumberingAfterBreak="0">
    <w:nsid w:val="121329BB"/>
    <w:multiLevelType w:val="multilevel"/>
    <w:tmpl w:val="DEEC7F82"/>
    <w:lvl w:ilvl="0">
      <w:start w:val="1"/>
      <w:numFmt w:val="bullet"/>
      <w:pStyle w:val="Bullet1"/>
      <w:lvlText w:val="•"/>
      <w:lvlJc w:val="left"/>
      <w:pPr>
        <w:ind w:left="709" w:hanging="709"/>
      </w:pPr>
      <w:rPr>
        <w:rFonts w:ascii="Garamond" w:hAnsi="Garamond" w:hint="default"/>
        <w:color w:val="000000" w:themeColor="text1"/>
      </w:rPr>
    </w:lvl>
    <w:lvl w:ilvl="1">
      <w:start w:val="1"/>
      <w:numFmt w:val="bullet"/>
      <w:pStyle w:val="Bullet2"/>
      <w:lvlText w:val="•"/>
      <w:lvlJc w:val="left"/>
      <w:pPr>
        <w:ind w:left="1418" w:hanging="709"/>
      </w:pPr>
      <w:rPr>
        <w:rFonts w:ascii="Garamond" w:hAnsi="Garamond" w:hint="default"/>
        <w:color w:val="000000" w:themeColor="text1"/>
      </w:rPr>
    </w:lvl>
    <w:lvl w:ilvl="2">
      <w:start w:val="1"/>
      <w:numFmt w:val="bullet"/>
      <w:pStyle w:val="Bullet3"/>
      <w:lvlText w:val="•"/>
      <w:lvlJc w:val="left"/>
      <w:pPr>
        <w:ind w:left="2127" w:hanging="709"/>
      </w:pPr>
      <w:rPr>
        <w:rFonts w:ascii="Garamond" w:hAnsi="Garamond" w:hint="default"/>
        <w:color w:val="000000" w:themeColor="text1"/>
      </w:rPr>
    </w:lvl>
    <w:lvl w:ilvl="3">
      <w:start w:val="1"/>
      <w:numFmt w:val="none"/>
      <w:lvlText w:val=""/>
      <w:lvlJc w:val="left"/>
      <w:pPr>
        <w:ind w:left="2836" w:hanging="709"/>
      </w:pPr>
      <w:rPr>
        <w:rFonts w:hint="default"/>
      </w:rPr>
    </w:lvl>
    <w:lvl w:ilvl="4">
      <w:start w:val="1"/>
      <w:numFmt w:val="none"/>
      <w:lvlText w:val=""/>
      <w:lvlJc w:val="left"/>
      <w:pPr>
        <w:ind w:left="3545" w:hanging="709"/>
      </w:pPr>
      <w:rPr>
        <w:rFonts w:hint="default"/>
      </w:rPr>
    </w:lvl>
    <w:lvl w:ilvl="5">
      <w:start w:val="1"/>
      <w:numFmt w:val="none"/>
      <w:lvlText w:val=""/>
      <w:lvlJc w:val="left"/>
      <w:pPr>
        <w:ind w:left="4254" w:hanging="709"/>
      </w:pPr>
      <w:rPr>
        <w:rFonts w:hint="default"/>
      </w:rPr>
    </w:lvl>
    <w:lvl w:ilvl="6">
      <w:start w:val="1"/>
      <w:numFmt w:val="none"/>
      <w:lvlText w:val="%7"/>
      <w:lvlJc w:val="left"/>
      <w:pPr>
        <w:ind w:left="4963" w:hanging="709"/>
      </w:pPr>
      <w:rPr>
        <w:rFonts w:hint="default"/>
      </w:rPr>
    </w:lvl>
    <w:lvl w:ilvl="7">
      <w:start w:val="1"/>
      <w:numFmt w:val="none"/>
      <w:lvlText w:val="%8"/>
      <w:lvlJc w:val="left"/>
      <w:pPr>
        <w:ind w:left="5672" w:hanging="709"/>
      </w:pPr>
      <w:rPr>
        <w:rFonts w:hint="default"/>
      </w:rPr>
    </w:lvl>
    <w:lvl w:ilvl="8">
      <w:start w:val="1"/>
      <w:numFmt w:val="none"/>
      <w:lvlText w:val=""/>
      <w:lvlJc w:val="left"/>
      <w:pPr>
        <w:ind w:left="6381" w:hanging="709"/>
      </w:pPr>
      <w:rPr>
        <w:rFonts w:hint="default"/>
      </w:rPr>
    </w:lvl>
  </w:abstractNum>
  <w:abstractNum w:abstractNumId="2" w15:restartNumberingAfterBreak="0">
    <w:nsid w:val="1D23703A"/>
    <w:multiLevelType w:val="hybridMultilevel"/>
    <w:tmpl w:val="72940D9E"/>
    <w:lvl w:ilvl="0" w:tplc="62105652">
      <w:start w:val="1"/>
      <w:numFmt w:val="upp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3D5A7286"/>
    <w:multiLevelType w:val="multilevel"/>
    <w:tmpl w:val="1B862EC8"/>
    <w:lvl w:ilvl="0">
      <w:start w:val="1"/>
      <w:numFmt w:val="decimal"/>
      <w:pStyle w:val="AllensHeading1"/>
      <w:lvlText w:val="%1"/>
      <w:lvlJc w:val="left"/>
      <w:pPr>
        <w:tabs>
          <w:tab w:val="num" w:pos="709"/>
        </w:tabs>
        <w:ind w:left="709" w:hanging="709"/>
      </w:pPr>
      <w:rPr>
        <w:rFonts w:hint="default"/>
        <w:sz w:val="22"/>
        <w:szCs w:val="22"/>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sz w:val="20"/>
        <w:szCs w:val="20"/>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4" w15:restartNumberingAfterBreak="0">
    <w:nsid w:val="3D7E39C9"/>
    <w:multiLevelType w:val="multilevel"/>
    <w:tmpl w:val="326CB47E"/>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9%1"/>
      <w:lvlJc w:val="left"/>
      <w:pPr>
        <w:tabs>
          <w:tab w:val="num" w:pos="6120"/>
        </w:tabs>
        <w:ind w:left="4320" w:hanging="1440"/>
      </w:pPr>
      <w:rPr>
        <w:rFonts w:hint="default"/>
      </w:rPr>
    </w:lvl>
  </w:abstractNum>
  <w:abstractNum w:abstractNumId="5" w15:restartNumberingAfterBreak="0">
    <w:nsid w:val="3FF6050F"/>
    <w:multiLevelType w:val="multilevel"/>
    <w:tmpl w:val="5EB81EE2"/>
    <w:lvl w:ilvl="0">
      <w:start w:val="1"/>
      <w:numFmt w:val="none"/>
      <w:pStyle w:val="Definitions"/>
      <w:suff w:val="nothing"/>
      <w:lvlText w:val=""/>
      <w:lvlJc w:val="left"/>
      <w:pPr>
        <w:ind w:left="1418" w:hanging="709"/>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6" w15:restartNumberingAfterBreak="0">
    <w:nsid w:val="4E58445D"/>
    <w:multiLevelType w:val="multilevel"/>
    <w:tmpl w:val="A5C4D94A"/>
    <w:lvl w:ilvl="0">
      <w:start w:val="1"/>
      <w:numFmt w:val="decimal"/>
      <w:pStyle w:val="GNHeading"/>
      <w:lvlText w:val="%1"/>
      <w:lvlJc w:val="left"/>
      <w:pPr>
        <w:tabs>
          <w:tab w:val="num" w:pos="0"/>
        </w:tabs>
        <w:ind w:left="0" w:firstLine="0"/>
      </w:pPr>
      <w:rPr>
        <w:rFonts w:hint="default"/>
      </w:rPr>
    </w:lvl>
    <w:lvl w:ilvl="1">
      <w:start w:val="1"/>
      <w:numFmt w:val="decimal"/>
      <w:pStyle w:val="GNLevel1"/>
      <w:lvlText w:val="%2"/>
      <w:lvlJc w:val="left"/>
      <w:pPr>
        <w:tabs>
          <w:tab w:val="num" w:pos="0"/>
        </w:tabs>
        <w:ind w:left="0" w:firstLine="0"/>
      </w:pPr>
      <w:rPr>
        <w:rFonts w:hint="default"/>
      </w:rPr>
    </w:lvl>
    <w:lvl w:ilvl="2">
      <w:start w:val="1"/>
      <w:numFmt w:val="lowerLetter"/>
      <w:pStyle w:val="GNLevel2"/>
      <w:lvlText w:val="(%3)"/>
      <w:lvlJc w:val="left"/>
      <w:pPr>
        <w:tabs>
          <w:tab w:val="num" w:pos="709"/>
        </w:tabs>
        <w:ind w:left="709" w:firstLine="0"/>
      </w:pPr>
      <w:rPr>
        <w:rFonts w:hint="default"/>
      </w:rPr>
    </w:lvl>
    <w:lvl w:ilvl="3">
      <w:start w:val="1"/>
      <w:numFmt w:val="lowerRoman"/>
      <w:pStyle w:val="GNLevel3"/>
      <w:lvlText w:val="(%4)"/>
      <w:lvlJc w:val="left"/>
      <w:pPr>
        <w:tabs>
          <w:tab w:val="num" w:pos="1418"/>
        </w:tabs>
        <w:ind w:left="1418" w:firstLine="0"/>
      </w:pPr>
      <w:rPr>
        <w:rFonts w:hint="default"/>
      </w:rPr>
    </w:lvl>
    <w:lvl w:ilvl="4">
      <w:start w:val="1"/>
      <w:numFmt w:val="upperLetter"/>
      <w:pStyle w:val="GNLevel4"/>
      <w:lvlText w:val="(%5)"/>
      <w:lvlJc w:val="left"/>
      <w:pPr>
        <w:tabs>
          <w:tab w:val="num" w:pos="2126"/>
        </w:tabs>
        <w:ind w:left="2126" w:firstLine="0"/>
      </w:pPr>
      <w:rPr>
        <w:rFonts w:hint="default"/>
      </w:rPr>
    </w:lvl>
    <w:lvl w:ilvl="5">
      <w:start w:val="1"/>
      <w:numFmt w:val="none"/>
      <w:lvlText w:val="%6"/>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right"/>
      <w:pPr>
        <w:tabs>
          <w:tab w:val="num" w:pos="0"/>
        </w:tabs>
        <w:ind w:left="0" w:firstLine="0"/>
      </w:pPr>
      <w:rPr>
        <w:rFonts w:hint="default"/>
      </w:rPr>
    </w:lvl>
  </w:abstractNum>
  <w:abstractNum w:abstractNumId="7" w15:restartNumberingAfterBreak="0">
    <w:nsid w:val="50395CAE"/>
    <w:multiLevelType w:val="multilevel"/>
    <w:tmpl w:val="55D425EE"/>
    <w:lvl w:ilvl="0">
      <w:start w:val="1"/>
      <w:numFmt w:val="bullet"/>
      <w:lvlText w:val="•"/>
      <w:lvlJc w:val="left"/>
      <w:pPr>
        <w:tabs>
          <w:tab w:val="num" w:pos="9316"/>
        </w:tabs>
        <w:ind w:left="10025" w:hanging="709"/>
      </w:pPr>
      <w:rPr>
        <w:rFonts w:ascii="Garamond" w:hAnsi="Garamond" w:hint="default"/>
        <w:color w:val="000000" w:themeColor="text1"/>
      </w:rPr>
    </w:lvl>
    <w:lvl w:ilvl="1">
      <w:start w:val="1"/>
      <w:numFmt w:val="bullet"/>
      <w:lvlText w:val="•"/>
      <w:lvlJc w:val="left"/>
      <w:pPr>
        <w:tabs>
          <w:tab w:val="num" w:pos="10025"/>
        </w:tabs>
        <w:ind w:left="10025" w:firstLine="0"/>
      </w:pPr>
      <w:rPr>
        <w:rFonts w:ascii="Garamond" w:hAnsi="Garamond" w:hint="default"/>
        <w:color w:val="000000" w:themeColor="text1"/>
      </w:rPr>
    </w:lvl>
    <w:lvl w:ilvl="2">
      <w:start w:val="1"/>
      <w:numFmt w:val="bullet"/>
      <w:lvlText w:val="•"/>
      <w:lvlJc w:val="left"/>
      <w:pPr>
        <w:tabs>
          <w:tab w:val="num" w:pos="10734"/>
        </w:tabs>
        <w:ind w:left="10734" w:firstLine="0"/>
      </w:pPr>
      <w:rPr>
        <w:rFonts w:ascii="Garamond" w:hAnsi="Garamond" w:hint="default"/>
        <w:color w:val="000000" w:themeColor="text1"/>
      </w:rPr>
    </w:lvl>
    <w:lvl w:ilvl="3">
      <w:start w:val="1"/>
      <w:numFmt w:val="none"/>
      <w:lvlText w:val=""/>
      <w:lvlJc w:val="left"/>
      <w:pPr>
        <w:ind w:left="10756" w:hanging="360"/>
      </w:pPr>
      <w:rPr>
        <w:rFonts w:hint="default"/>
      </w:rPr>
    </w:lvl>
    <w:lvl w:ilvl="4">
      <w:start w:val="1"/>
      <w:numFmt w:val="none"/>
      <w:lvlText w:val=""/>
      <w:lvlJc w:val="left"/>
      <w:pPr>
        <w:ind w:left="11116" w:hanging="360"/>
      </w:pPr>
      <w:rPr>
        <w:rFonts w:hint="default"/>
      </w:rPr>
    </w:lvl>
    <w:lvl w:ilvl="5">
      <w:start w:val="1"/>
      <w:numFmt w:val="none"/>
      <w:lvlText w:val=""/>
      <w:lvlJc w:val="left"/>
      <w:pPr>
        <w:ind w:left="11476" w:hanging="360"/>
      </w:pPr>
      <w:rPr>
        <w:rFonts w:hint="default"/>
      </w:rPr>
    </w:lvl>
    <w:lvl w:ilvl="6">
      <w:start w:val="1"/>
      <w:numFmt w:val="none"/>
      <w:lvlText w:val="%7"/>
      <w:lvlJc w:val="left"/>
      <w:pPr>
        <w:ind w:left="11836" w:hanging="360"/>
      </w:pPr>
      <w:rPr>
        <w:rFonts w:hint="default"/>
      </w:rPr>
    </w:lvl>
    <w:lvl w:ilvl="7">
      <w:start w:val="1"/>
      <w:numFmt w:val="none"/>
      <w:lvlText w:val="%8"/>
      <w:lvlJc w:val="left"/>
      <w:pPr>
        <w:ind w:left="12196" w:hanging="360"/>
      </w:pPr>
      <w:rPr>
        <w:rFonts w:hint="default"/>
      </w:rPr>
    </w:lvl>
    <w:lvl w:ilvl="8">
      <w:start w:val="1"/>
      <w:numFmt w:val="none"/>
      <w:lvlText w:val="%9"/>
      <w:lvlJc w:val="left"/>
      <w:pPr>
        <w:ind w:left="12556" w:hanging="360"/>
      </w:pPr>
      <w:rPr>
        <w:rFonts w:hint="default"/>
      </w:rPr>
    </w:lvl>
  </w:abstractNum>
  <w:abstractNum w:abstractNumId="8" w15:restartNumberingAfterBreak="0">
    <w:nsid w:val="5C043F0D"/>
    <w:multiLevelType w:val="hybridMultilevel"/>
    <w:tmpl w:val="245A1020"/>
    <w:lvl w:ilvl="0" w:tplc="62105652">
      <w:start w:val="1"/>
      <w:numFmt w:val="upp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10"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1" w15:restartNumberingAfterBreak="0">
    <w:nsid w:val="67B13928"/>
    <w:multiLevelType w:val="multilevel"/>
    <w:tmpl w:val="D13A43C2"/>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2" w15:restartNumberingAfterBreak="0">
    <w:nsid w:val="70A8249E"/>
    <w:multiLevelType w:val="singleLevel"/>
    <w:tmpl w:val="2BBC19E2"/>
    <w:lvl w:ilvl="0">
      <w:start w:val="1"/>
      <w:numFmt w:val="bullet"/>
      <w:lvlText w:val="•"/>
      <w:lvlJc w:val="left"/>
      <w:pPr>
        <w:tabs>
          <w:tab w:val="num" w:pos="709"/>
        </w:tabs>
        <w:ind w:left="709" w:hanging="709"/>
      </w:pPr>
      <w:rPr>
        <w:rFonts w:ascii="Garamond" w:hAnsi="Garamond" w:hint="default"/>
        <w:b w:val="0"/>
        <w:i w:val="0"/>
        <w:sz w:val="24"/>
      </w:rPr>
    </w:lvl>
  </w:abstractNum>
  <w:abstractNum w:abstractNumId="13" w15:restartNumberingAfterBreak="0">
    <w:nsid w:val="7205784B"/>
    <w:multiLevelType w:val="multilevel"/>
    <w:tmpl w:val="2A961E4A"/>
    <w:lvl w:ilvl="0">
      <w:start w:val="1"/>
      <w:numFmt w:val="bullet"/>
      <w:lvlText w:val="•"/>
      <w:lvlJc w:val="left"/>
      <w:pPr>
        <w:ind w:left="709" w:hanging="709"/>
      </w:pPr>
      <w:rPr>
        <w:rFonts w:ascii="Garamond" w:hAnsi="Garamond" w:hint="default"/>
        <w:color w:val="000000" w:themeColor="text1"/>
      </w:rPr>
    </w:lvl>
    <w:lvl w:ilvl="1">
      <w:start w:val="1"/>
      <w:numFmt w:val="lowerLetter"/>
      <w:lvlText w:val="%2)"/>
      <w:lvlJc w:val="left"/>
      <w:pPr>
        <w:ind w:left="1418" w:hanging="709"/>
      </w:pPr>
      <w:rPr>
        <w:rFonts w:hint="default"/>
      </w:rPr>
    </w:lvl>
    <w:lvl w:ilvl="2">
      <w:start w:val="1"/>
      <w:numFmt w:val="lowerRoman"/>
      <w:lvlText w:val="%3)"/>
      <w:lvlJc w:val="left"/>
      <w:pPr>
        <w:ind w:left="2127" w:hanging="709"/>
      </w:pPr>
      <w:rPr>
        <w:rFonts w:hint="default"/>
      </w:rPr>
    </w:lvl>
    <w:lvl w:ilvl="3">
      <w:start w:val="1"/>
      <w:numFmt w:val="decimal"/>
      <w:lvlText w:val="(%4)"/>
      <w:lvlJc w:val="left"/>
      <w:pPr>
        <w:ind w:left="2836" w:hanging="709"/>
      </w:pPr>
      <w:rPr>
        <w:rFonts w:hint="default"/>
      </w:rPr>
    </w:lvl>
    <w:lvl w:ilvl="4">
      <w:start w:val="1"/>
      <w:numFmt w:val="lowerLetter"/>
      <w:lvlText w:val="(%5)"/>
      <w:lvlJc w:val="left"/>
      <w:pPr>
        <w:ind w:left="3545" w:hanging="709"/>
      </w:pPr>
      <w:rPr>
        <w:rFonts w:hint="default"/>
      </w:rPr>
    </w:lvl>
    <w:lvl w:ilvl="5">
      <w:start w:val="1"/>
      <w:numFmt w:val="lowerRoman"/>
      <w:lvlText w:val="(%6)"/>
      <w:lvlJc w:val="left"/>
      <w:pPr>
        <w:ind w:left="4254" w:hanging="709"/>
      </w:pPr>
      <w:rPr>
        <w:rFonts w:hint="default"/>
      </w:rPr>
    </w:lvl>
    <w:lvl w:ilvl="6">
      <w:start w:val="1"/>
      <w:numFmt w:val="decimal"/>
      <w:lvlText w:val="%7."/>
      <w:lvlJc w:val="left"/>
      <w:pPr>
        <w:ind w:left="4963" w:hanging="709"/>
      </w:pPr>
      <w:rPr>
        <w:rFonts w:hint="default"/>
      </w:rPr>
    </w:lvl>
    <w:lvl w:ilvl="7">
      <w:start w:val="1"/>
      <w:numFmt w:val="lowerLetter"/>
      <w:lvlText w:val="%8."/>
      <w:lvlJc w:val="left"/>
      <w:pPr>
        <w:ind w:left="5672" w:hanging="709"/>
      </w:pPr>
      <w:rPr>
        <w:rFonts w:hint="default"/>
      </w:rPr>
    </w:lvl>
    <w:lvl w:ilvl="8">
      <w:start w:val="1"/>
      <w:numFmt w:val="lowerRoman"/>
      <w:lvlText w:val="%9."/>
      <w:lvlJc w:val="left"/>
      <w:pPr>
        <w:ind w:left="6381" w:hanging="709"/>
      </w:pPr>
      <w:rPr>
        <w:rFonts w:hint="default"/>
      </w:rPr>
    </w:lvl>
  </w:abstractNum>
  <w:abstractNum w:abstractNumId="14" w15:restartNumberingAfterBreak="0">
    <w:nsid w:val="7385191F"/>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5" w15:restartNumberingAfterBreak="0">
    <w:nsid w:val="7B6A6B3B"/>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1695303598">
    <w:abstractNumId w:val="3"/>
  </w:num>
  <w:num w:numId="2" w16cid:durableId="2127652880">
    <w:abstractNumId w:val="5"/>
  </w:num>
  <w:num w:numId="3" w16cid:durableId="267271710">
    <w:abstractNumId w:val="10"/>
  </w:num>
  <w:num w:numId="4" w16cid:durableId="1333338840">
    <w:abstractNumId w:val="0"/>
  </w:num>
  <w:num w:numId="5" w16cid:durableId="2023505767">
    <w:abstractNumId w:val="4"/>
  </w:num>
  <w:num w:numId="6" w16cid:durableId="731150906">
    <w:abstractNumId w:val="9"/>
  </w:num>
  <w:num w:numId="7" w16cid:durableId="1283612752">
    <w:abstractNumId w:val="8"/>
  </w:num>
  <w:num w:numId="8" w16cid:durableId="1431461921">
    <w:abstractNumId w:val="7"/>
  </w:num>
  <w:num w:numId="9" w16cid:durableId="398865006">
    <w:abstractNumId w:val="6"/>
  </w:num>
  <w:num w:numId="10" w16cid:durableId="7769496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1" w16cid:durableId="4014109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2" w16cid:durableId="20085529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3" w16cid:durableId="929388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4" w16cid:durableId="19905087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564660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572252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17" w16cid:durableId="67889706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6114906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580875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750392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45418698">
    <w:abstractNumId w:val="12"/>
  </w:num>
  <w:num w:numId="22" w16cid:durableId="10681873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24834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89809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331582">
    <w:abstractNumId w:val="5"/>
  </w:num>
  <w:num w:numId="26" w16cid:durableId="1453406467">
    <w:abstractNumId w:val="13"/>
  </w:num>
  <w:num w:numId="27" w16cid:durableId="1528425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4783467">
    <w:abstractNumId w:val="7"/>
  </w:num>
  <w:num w:numId="29" w16cid:durableId="1155679381">
    <w:abstractNumId w:val="1"/>
  </w:num>
  <w:num w:numId="30" w16cid:durableId="1203248205">
    <w:abstractNumId w:val="2"/>
  </w:num>
  <w:num w:numId="31" w16cid:durableId="2010981352">
    <w:abstractNumId w:val="3"/>
  </w:num>
  <w:num w:numId="32" w16cid:durableId="647980748">
    <w:abstractNumId w:val="3"/>
  </w:num>
  <w:num w:numId="33" w16cid:durableId="973096367">
    <w:abstractNumId w:val="3"/>
  </w:num>
  <w:num w:numId="34" w16cid:durableId="2124112650">
    <w:abstractNumId w:val="3"/>
  </w:num>
  <w:num w:numId="35" w16cid:durableId="1279949510">
    <w:abstractNumId w:val="3"/>
  </w:num>
  <w:num w:numId="36" w16cid:durableId="1325815742">
    <w:abstractNumId w:val="3"/>
  </w:num>
  <w:num w:numId="37" w16cid:durableId="736830099">
    <w:abstractNumId w:val="3"/>
  </w:num>
  <w:num w:numId="38" w16cid:durableId="1874414330">
    <w:abstractNumId w:val="3"/>
  </w:num>
  <w:num w:numId="39" w16cid:durableId="1736389586">
    <w:abstractNumId w:val="3"/>
  </w:num>
  <w:num w:numId="40" w16cid:durableId="752974543">
    <w:abstractNumId w:val="3"/>
  </w:num>
  <w:num w:numId="41" w16cid:durableId="2051151683">
    <w:abstractNumId w:val="3"/>
  </w:num>
  <w:num w:numId="42" w16cid:durableId="1615403213">
    <w:abstractNumId w:val="3"/>
  </w:num>
  <w:num w:numId="43" w16cid:durableId="704670455">
    <w:abstractNumId w:val="3"/>
  </w:num>
  <w:num w:numId="44" w16cid:durableId="1811437155">
    <w:abstractNumId w:val="3"/>
  </w:num>
  <w:num w:numId="45" w16cid:durableId="1627270336">
    <w:abstractNumId w:val="3"/>
  </w:num>
  <w:num w:numId="46" w16cid:durableId="1224096054">
    <w:abstractNumId w:val="11"/>
  </w:num>
  <w:num w:numId="47" w16cid:durableId="595526374">
    <w:abstractNumId w:val="3"/>
  </w:num>
  <w:num w:numId="48" w16cid:durableId="52922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49" w16cid:durableId="19392164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0" w16cid:durableId="4583753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1" w16cid:durableId="37770518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2" w16cid:durableId="12574451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3" w16cid:durableId="8553858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4" w16cid:durableId="15428582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5" w16cid:durableId="118686636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6" w16cid:durableId="14655834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7" w16cid:durableId="3545820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58" w16cid:durableId="627247365">
    <w:abstractNumId w:val="3"/>
  </w:num>
  <w:num w:numId="59" w16cid:durableId="774597833">
    <w:abstractNumId w:val="3"/>
  </w:num>
  <w:num w:numId="60" w16cid:durableId="1431855013">
    <w:abstractNumId w:val="3"/>
  </w:num>
  <w:num w:numId="61" w16cid:durableId="546337839">
    <w:abstractNumId w:val="3"/>
  </w:num>
  <w:num w:numId="62" w16cid:durableId="684403927">
    <w:abstractNumId w:val="3"/>
  </w:num>
  <w:num w:numId="63" w16cid:durableId="87502942">
    <w:abstractNumId w:val="3"/>
  </w:num>
  <w:num w:numId="64" w16cid:durableId="430394209">
    <w:abstractNumId w:val="3"/>
  </w:num>
  <w:num w:numId="65" w16cid:durableId="655644133">
    <w:abstractNumId w:val="3"/>
  </w:num>
  <w:num w:numId="66" w16cid:durableId="1384907176">
    <w:abstractNumId w:val="3"/>
  </w:num>
  <w:num w:numId="67" w16cid:durableId="448359961">
    <w:abstractNumId w:val="3"/>
  </w:num>
  <w:num w:numId="68" w16cid:durableId="607200393">
    <w:abstractNumId w:val="3"/>
  </w:num>
  <w:num w:numId="69" w16cid:durableId="954411393">
    <w:abstractNumId w:val="3"/>
  </w:num>
  <w:num w:numId="70" w16cid:durableId="7158592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 w:numId="71" w16cid:durableId="1499686624">
    <w:abstractNumId w:val="15"/>
  </w:num>
  <w:num w:numId="72" w16cid:durableId="914702216">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ldFldsRemoved" w:val="-1"/>
  </w:docVars>
  <w:rsids>
    <w:rsidRoot w:val="00366153"/>
    <w:rsid w:val="00033566"/>
    <w:rsid w:val="00063726"/>
    <w:rsid w:val="00071246"/>
    <w:rsid w:val="000A1ED5"/>
    <w:rsid w:val="00112A3F"/>
    <w:rsid w:val="001710BD"/>
    <w:rsid w:val="001B6A14"/>
    <w:rsid w:val="001E56AB"/>
    <w:rsid w:val="00226B38"/>
    <w:rsid w:val="00274424"/>
    <w:rsid w:val="002C39B2"/>
    <w:rsid w:val="002F6F2D"/>
    <w:rsid w:val="003041AF"/>
    <w:rsid w:val="00310383"/>
    <w:rsid w:val="003521BE"/>
    <w:rsid w:val="00366153"/>
    <w:rsid w:val="003744A0"/>
    <w:rsid w:val="003D4825"/>
    <w:rsid w:val="004810B5"/>
    <w:rsid w:val="004A74EC"/>
    <w:rsid w:val="004C46BE"/>
    <w:rsid w:val="004E5DD7"/>
    <w:rsid w:val="00592C60"/>
    <w:rsid w:val="005A5EA5"/>
    <w:rsid w:val="006B6E7F"/>
    <w:rsid w:val="006F1011"/>
    <w:rsid w:val="007557B4"/>
    <w:rsid w:val="007843CA"/>
    <w:rsid w:val="008252BB"/>
    <w:rsid w:val="008A0561"/>
    <w:rsid w:val="009241A3"/>
    <w:rsid w:val="00982068"/>
    <w:rsid w:val="009A48E0"/>
    <w:rsid w:val="00A502F9"/>
    <w:rsid w:val="00A57F80"/>
    <w:rsid w:val="00BC4E57"/>
    <w:rsid w:val="00C853D8"/>
    <w:rsid w:val="00D9605A"/>
    <w:rsid w:val="00DC5222"/>
    <w:rsid w:val="00E57E1B"/>
    <w:rsid w:val="00ED410B"/>
    <w:rsid w:val="00F261CE"/>
    <w:rsid w:val="00FC36C2"/>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464999A"/>
  <w15:docId w15:val="{3C228FC1-5DB4-4727-B912-E4222AF9E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qFormat="1"/>
    <w:lsdException w:name="footnote text" w:semiHidden="1" w:uiPriority="0"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00" w:after="0" w:line="288" w:lineRule="auto"/>
    </w:pPr>
    <w:rPr>
      <w:rFonts w:ascii="Arial" w:eastAsia="Times New Roman" w:hAnsi="Arial" w:cs="Times New Roman"/>
      <w:sz w:val="20"/>
      <w:szCs w:val="20"/>
    </w:rPr>
  </w:style>
  <w:style w:type="paragraph" w:styleId="Heading1">
    <w:name w:val="heading 1"/>
    <w:basedOn w:val="Normal"/>
    <w:next w:val="Normal"/>
    <w:semiHidden/>
    <w:pPr>
      <w:outlineLvl w:val="0"/>
    </w:pPr>
  </w:style>
  <w:style w:type="paragraph" w:styleId="Heading2">
    <w:name w:val="heading 2"/>
    <w:basedOn w:val="Normal"/>
    <w:next w:val="Normal"/>
    <w:semiHidden/>
    <w:pPr>
      <w:outlineLvl w:val="1"/>
    </w:pPr>
  </w:style>
  <w:style w:type="paragraph" w:styleId="Heading3">
    <w:name w:val="heading 3"/>
    <w:basedOn w:val="Normal"/>
    <w:semiHidden/>
    <w:pPr>
      <w:outlineLvl w:val="2"/>
    </w:pPr>
  </w:style>
  <w:style w:type="paragraph" w:styleId="Heading4">
    <w:name w:val="heading 4"/>
    <w:basedOn w:val="Normal"/>
    <w:semiHidden/>
    <w:pPr>
      <w:outlineLvl w:val="3"/>
    </w:pPr>
  </w:style>
  <w:style w:type="paragraph" w:styleId="Heading5">
    <w:name w:val="heading 5"/>
    <w:basedOn w:val="Normal"/>
    <w:semiHidden/>
    <w:pPr>
      <w:outlineLvl w:val="4"/>
    </w:pPr>
  </w:style>
  <w:style w:type="paragraph" w:styleId="Heading6">
    <w:name w:val="heading 6"/>
    <w:basedOn w:val="Normal"/>
    <w:semiHidden/>
    <w:pPr>
      <w:outlineLvl w:val="5"/>
    </w:pPr>
  </w:style>
  <w:style w:type="paragraph" w:styleId="Heading7">
    <w:name w:val="heading 7"/>
    <w:basedOn w:val="Normal"/>
    <w:next w:val="Normal"/>
    <w:semiHidden/>
    <w:pPr>
      <w:outlineLvl w:val="6"/>
    </w:pPr>
  </w:style>
  <w:style w:type="paragraph" w:styleId="Heading8">
    <w:name w:val="heading 8"/>
    <w:basedOn w:val="Normal"/>
    <w:next w:val="Normal"/>
    <w:semiHidden/>
    <w:pPr>
      <w:outlineLvl w:val="7"/>
    </w:pPr>
  </w:style>
  <w:style w:type="paragraph" w:styleId="Heading9">
    <w:name w:val="heading 9"/>
    <w:basedOn w:val="Normal"/>
    <w:next w:val="Normal"/>
    <w:semiHidden/>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llensHeading1">
    <w:name w:val="Allens Heading 1"/>
    <w:basedOn w:val="Normal"/>
    <w:next w:val="AllensHeading2"/>
    <w:qFormat/>
    <w:pPr>
      <w:keepNext/>
      <w:numPr>
        <w:numId w:val="1"/>
      </w:numPr>
      <w:spacing w:before="200"/>
      <w:outlineLvl w:val="0"/>
    </w:pPr>
    <w:rPr>
      <w:b/>
      <w:sz w:val="22"/>
    </w:rPr>
  </w:style>
  <w:style w:type="paragraph" w:customStyle="1" w:styleId="AllensHeading2">
    <w:name w:val="Allens Heading 2"/>
    <w:basedOn w:val="Normal"/>
    <w:next w:val="NormalIndent"/>
    <w:link w:val="AllensHeading2Char"/>
    <w:qFormat/>
    <w:pPr>
      <w:keepNext/>
      <w:numPr>
        <w:ilvl w:val="1"/>
        <w:numId w:val="1"/>
      </w:numPr>
      <w:spacing w:before="160"/>
      <w:outlineLvl w:val="1"/>
    </w:pPr>
    <w:rPr>
      <w:b/>
      <w:sz w:val="21"/>
    </w:rPr>
  </w:style>
  <w:style w:type="paragraph" w:styleId="NormalIndent">
    <w:name w:val="Normal Indent"/>
    <w:basedOn w:val="Normal"/>
    <w:link w:val="NormalIndentChar"/>
    <w:uiPriority w:val="99"/>
    <w:qFormat/>
    <w:pPr>
      <w:ind w:left="709"/>
    </w:pPr>
  </w:style>
  <w:style w:type="paragraph" w:customStyle="1" w:styleId="AllensHeading3">
    <w:name w:val="Allens Heading 3"/>
    <w:basedOn w:val="Normal"/>
    <w:link w:val="AllensHeading3Char"/>
    <w:qFormat/>
    <w:pPr>
      <w:numPr>
        <w:ilvl w:val="2"/>
        <w:numId w:val="1"/>
      </w:numPr>
    </w:pPr>
  </w:style>
  <w:style w:type="paragraph" w:customStyle="1" w:styleId="AllensHeading4">
    <w:name w:val="Allens Heading 4"/>
    <w:basedOn w:val="Normal"/>
    <w:qFormat/>
    <w:pPr>
      <w:numPr>
        <w:ilvl w:val="3"/>
        <w:numId w:val="1"/>
      </w:numPr>
    </w:pPr>
  </w:style>
  <w:style w:type="paragraph" w:customStyle="1" w:styleId="AllensHeading5">
    <w:name w:val="Allens Heading 5"/>
    <w:basedOn w:val="Normal"/>
    <w:qFormat/>
    <w:pPr>
      <w:numPr>
        <w:ilvl w:val="4"/>
        <w:numId w:val="1"/>
      </w:numPr>
    </w:pPr>
  </w:style>
  <w:style w:type="paragraph" w:customStyle="1" w:styleId="AllensHeading6">
    <w:name w:val="Allens Heading 6"/>
    <w:basedOn w:val="Normal"/>
    <w:qFormat/>
    <w:pPr>
      <w:numPr>
        <w:ilvl w:val="5"/>
        <w:numId w:val="1"/>
      </w:numPr>
    </w:pPr>
  </w:style>
  <w:style w:type="character" w:customStyle="1" w:styleId="AuthorNote">
    <w:name w:val="Author Note"/>
    <w:uiPriority w:val="1"/>
    <w:qFormat/>
    <w:rPr>
      <w:rFonts w:ascii="Arial" w:hAnsi="Arial"/>
      <w:b/>
      <w:vanish/>
      <w:color w:val="0074BF"/>
      <w:sz w:val="20"/>
    </w:rPr>
  </w:style>
  <w:style w:type="paragraph" w:styleId="BalloonText">
    <w:name w:val="Balloon Text"/>
    <w:basedOn w:val="Normal"/>
    <w:semiHidden/>
    <w:pPr>
      <w:spacing w:before="0" w:line="240" w:lineRule="auto"/>
    </w:pPr>
    <w:rPr>
      <w:rFonts w:ascii="Tahoma" w:hAnsi="Tahoma" w:cs="Tahoma"/>
      <w:sz w:val="16"/>
      <w:szCs w:val="16"/>
    </w:rPr>
  </w:style>
  <w:style w:type="paragraph" w:styleId="BodyText">
    <w:name w:val="Body Text"/>
    <w:basedOn w:val="Normal"/>
    <w:qFormat/>
    <w:pPr>
      <w:spacing w:before="0" w:line="240" w:lineRule="auto"/>
    </w:pPr>
  </w:style>
  <w:style w:type="paragraph" w:styleId="BodyTextIndent">
    <w:name w:val="Body Text Indent"/>
    <w:basedOn w:val="BodyText"/>
    <w:qFormat/>
    <w:pPr>
      <w:ind w:left="709"/>
    </w:pPr>
  </w:style>
  <w:style w:type="paragraph" w:customStyle="1" w:styleId="Bullet1">
    <w:name w:val="Bullet 1"/>
    <w:basedOn w:val="Normal"/>
    <w:qFormat/>
    <w:pPr>
      <w:numPr>
        <w:numId w:val="29"/>
      </w:numPr>
    </w:pPr>
    <w:rPr>
      <w:lang w:eastAsia="en-AU"/>
    </w:rPr>
  </w:style>
  <w:style w:type="paragraph" w:customStyle="1" w:styleId="Bullet2">
    <w:name w:val="Bullet 2"/>
    <w:basedOn w:val="Normal"/>
    <w:qFormat/>
    <w:pPr>
      <w:numPr>
        <w:ilvl w:val="1"/>
        <w:numId w:val="29"/>
      </w:numPr>
      <w:tabs>
        <w:tab w:val="left" w:pos="1418"/>
      </w:tabs>
    </w:pPr>
  </w:style>
  <w:style w:type="paragraph" w:customStyle="1" w:styleId="Bullet3">
    <w:name w:val="Bullet 3"/>
    <w:basedOn w:val="Normal"/>
    <w:qFormat/>
    <w:pPr>
      <w:numPr>
        <w:ilvl w:val="2"/>
        <w:numId w:val="29"/>
      </w:numPr>
      <w:tabs>
        <w:tab w:val="left" w:pos="2126"/>
      </w:tabs>
    </w:pPr>
  </w:style>
  <w:style w:type="paragraph" w:customStyle="1" w:styleId="ContentsHeading">
    <w:name w:val="Contents Heading"/>
    <w:basedOn w:val="Normal"/>
    <w:next w:val="Normal"/>
    <w:qFormat/>
    <w:pPr>
      <w:spacing w:before="0"/>
    </w:pPr>
    <w:rPr>
      <w:b/>
      <w:sz w:val="22"/>
    </w:rPr>
  </w:style>
  <w:style w:type="paragraph" w:customStyle="1" w:styleId="Definitions">
    <w:name w:val="Definitions"/>
    <w:basedOn w:val="NormalIndent"/>
    <w:pPr>
      <w:widowControl w:val="0"/>
      <w:numPr>
        <w:numId w:val="25"/>
      </w:numPr>
      <w:ind w:left="709" w:firstLine="0"/>
    </w:pPr>
  </w:style>
  <w:style w:type="paragraph" w:customStyle="1" w:styleId="Definitionsa">
    <w:name w:val="Definitions (a)"/>
    <w:basedOn w:val="Normal"/>
    <w:qFormat/>
    <w:pPr>
      <w:numPr>
        <w:ilvl w:val="1"/>
        <w:numId w:val="25"/>
      </w:numPr>
    </w:pPr>
  </w:style>
  <w:style w:type="paragraph" w:customStyle="1" w:styleId="Definitionsi">
    <w:name w:val="Definitions (i)"/>
    <w:basedOn w:val="Normal"/>
    <w:qFormat/>
    <w:pPr>
      <w:numPr>
        <w:ilvl w:val="2"/>
        <w:numId w:val="25"/>
      </w:numPr>
    </w:pPr>
  </w:style>
  <w:style w:type="paragraph" w:styleId="Footer">
    <w:name w:val="footer"/>
    <w:basedOn w:val="Normal"/>
    <w:link w:val="FooterChar"/>
    <w:uiPriority w:val="99"/>
    <w:qFormat/>
    <w:pPr>
      <w:spacing w:before="40" w:line="240" w:lineRule="auto"/>
    </w:pPr>
    <w:rPr>
      <w:sz w:val="16"/>
    </w:rPr>
  </w:style>
  <w:style w:type="paragraph" w:styleId="FootnoteText">
    <w:name w:val="footnote text"/>
    <w:basedOn w:val="Normal"/>
    <w:semiHidden/>
    <w:rPr>
      <w:sz w:val="16"/>
    </w:rPr>
  </w:style>
  <w:style w:type="paragraph" w:customStyle="1" w:styleId="GeneralHeading1">
    <w:name w:val="General Heading 1"/>
    <w:basedOn w:val="Normal"/>
    <w:next w:val="Normal"/>
    <w:qFormat/>
    <w:pPr>
      <w:keepNext/>
      <w:spacing w:before="200"/>
    </w:pPr>
    <w:rPr>
      <w:b/>
      <w:sz w:val="22"/>
    </w:rPr>
  </w:style>
  <w:style w:type="paragraph" w:customStyle="1" w:styleId="GeneralHeading2">
    <w:name w:val="General Heading 2"/>
    <w:basedOn w:val="Normal"/>
    <w:next w:val="Normal"/>
    <w:qFormat/>
    <w:pPr>
      <w:keepNext/>
      <w:spacing w:before="160"/>
    </w:pPr>
    <w:rPr>
      <w:b/>
      <w:sz w:val="21"/>
    </w:rPr>
  </w:style>
  <w:style w:type="paragraph" w:customStyle="1" w:styleId="GNBullet">
    <w:name w:val="GN Bullet"/>
    <w:basedOn w:val="Normal"/>
    <w:uiPriority w:val="1"/>
    <w:qFormat/>
    <w:pPr>
      <w:numPr>
        <w:numId w:val="3"/>
      </w:numPr>
      <w:spacing w:line="240" w:lineRule="auto"/>
    </w:pPr>
    <w:rPr>
      <w:vanish/>
      <w:color w:val="000080"/>
    </w:rPr>
  </w:style>
  <w:style w:type="paragraph" w:customStyle="1" w:styleId="GNLevel3">
    <w:name w:val="GN Level 3"/>
    <w:basedOn w:val="Normal"/>
    <w:uiPriority w:val="1"/>
    <w:qFormat/>
    <w:pPr>
      <w:numPr>
        <w:ilvl w:val="3"/>
        <w:numId w:val="9"/>
      </w:numPr>
      <w:tabs>
        <w:tab w:val="left" w:pos="2126"/>
      </w:tabs>
      <w:spacing w:line="240" w:lineRule="auto"/>
      <w:ind w:left="2127" w:hanging="709"/>
    </w:pPr>
    <w:rPr>
      <w:vanish/>
      <w:color w:val="000080"/>
    </w:rPr>
  </w:style>
  <w:style w:type="paragraph" w:customStyle="1" w:styleId="GNLevel2">
    <w:name w:val="GN Level 2"/>
    <w:basedOn w:val="Normal"/>
    <w:uiPriority w:val="1"/>
    <w:qFormat/>
    <w:pPr>
      <w:numPr>
        <w:ilvl w:val="2"/>
        <w:numId w:val="9"/>
      </w:numPr>
      <w:tabs>
        <w:tab w:val="left" w:pos="1418"/>
      </w:tabs>
      <w:spacing w:line="240" w:lineRule="auto"/>
      <w:ind w:left="1418" w:hanging="709"/>
    </w:pPr>
    <w:rPr>
      <w:vanish/>
      <w:color w:val="000080"/>
    </w:rPr>
  </w:style>
  <w:style w:type="paragraph" w:customStyle="1" w:styleId="GNLevel1">
    <w:name w:val="GN Level 1"/>
    <w:basedOn w:val="Normal"/>
    <w:uiPriority w:val="1"/>
    <w:qFormat/>
    <w:pPr>
      <w:numPr>
        <w:ilvl w:val="1"/>
        <w:numId w:val="9"/>
      </w:numPr>
      <w:tabs>
        <w:tab w:val="left" w:pos="709"/>
      </w:tabs>
      <w:spacing w:line="240" w:lineRule="auto"/>
    </w:pPr>
    <w:rPr>
      <w:vanish/>
      <w:color w:val="000080"/>
    </w:rPr>
  </w:style>
  <w:style w:type="paragraph" w:customStyle="1" w:styleId="GNHeading">
    <w:name w:val="GN Heading"/>
    <w:basedOn w:val="Normal"/>
    <w:next w:val="GNNormalIndent"/>
    <w:uiPriority w:val="1"/>
    <w:qFormat/>
    <w:pPr>
      <w:keepNext/>
      <w:numPr>
        <w:numId w:val="9"/>
      </w:numPr>
      <w:tabs>
        <w:tab w:val="left" w:pos="709"/>
      </w:tabs>
      <w:spacing w:before="200" w:line="240" w:lineRule="auto"/>
    </w:pPr>
    <w:rPr>
      <w:rFonts w:ascii="Arial Bold" w:hAnsi="Arial Bold"/>
      <w:b/>
      <w:vanish/>
      <w:color w:val="000080"/>
    </w:rPr>
  </w:style>
  <w:style w:type="paragraph" w:customStyle="1" w:styleId="GNLevel4">
    <w:name w:val="GN Level 4"/>
    <w:basedOn w:val="Normal"/>
    <w:uiPriority w:val="1"/>
    <w:qFormat/>
    <w:pPr>
      <w:numPr>
        <w:ilvl w:val="4"/>
        <w:numId w:val="9"/>
      </w:numPr>
      <w:tabs>
        <w:tab w:val="left" w:pos="2835"/>
      </w:tabs>
      <w:spacing w:line="240" w:lineRule="auto"/>
      <w:ind w:left="2835" w:hanging="709"/>
    </w:pPr>
    <w:rPr>
      <w:rFonts w:cs="Arial"/>
      <w:vanish/>
      <w:color w:val="000080"/>
    </w:rPr>
  </w:style>
  <w:style w:type="paragraph" w:customStyle="1" w:styleId="GNNormal">
    <w:name w:val="GN Normal"/>
    <w:basedOn w:val="Normal"/>
    <w:uiPriority w:val="1"/>
    <w:qFormat/>
    <w:pPr>
      <w:spacing w:line="240" w:lineRule="auto"/>
    </w:pPr>
    <w:rPr>
      <w:vanish/>
      <w:color w:val="000080"/>
    </w:rPr>
  </w:style>
  <w:style w:type="paragraph" w:customStyle="1" w:styleId="GNNormalIndent">
    <w:name w:val="GN Normal Indent"/>
    <w:basedOn w:val="GNNormal"/>
    <w:uiPriority w:val="1"/>
    <w:qFormat/>
    <w:pPr>
      <w:ind w:left="709"/>
    </w:pPr>
  </w:style>
  <w:style w:type="paragraph" w:styleId="Header">
    <w:name w:val="header"/>
    <w:basedOn w:val="Normal"/>
    <w:link w:val="HeaderChar"/>
    <w:qFormat/>
    <w:pPr>
      <w:spacing w:before="0" w:line="240" w:lineRule="auto"/>
    </w:pPr>
    <w:rPr>
      <w:sz w:val="16"/>
    </w:rPr>
  </w:style>
  <w:style w:type="paragraph" w:customStyle="1" w:styleId="HeaderTitle">
    <w:name w:val="Header Title"/>
    <w:basedOn w:val="Normal"/>
    <w:uiPriority w:val="11"/>
    <w:qFormat/>
    <w:pPr>
      <w:spacing w:before="60" w:line="240" w:lineRule="auto"/>
    </w:pPr>
    <w:rPr>
      <w:noProof/>
    </w:rPr>
  </w:style>
  <w:style w:type="character" w:styleId="Hyperlink">
    <w:name w:val="Hyperlink"/>
    <w:uiPriority w:val="99"/>
    <w:rPr>
      <w:color w:val="0000FF"/>
      <w:u w:val="single"/>
    </w:rPr>
  </w:style>
  <w:style w:type="paragraph" w:customStyle="1" w:styleId="level1">
    <w:name w:val="level1"/>
    <w:basedOn w:val="Normal"/>
    <w:uiPriority w:val="99"/>
    <w:qFormat/>
    <w:pPr>
      <w:numPr>
        <w:numId w:val="4"/>
      </w:numPr>
    </w:pPr>
  </w:style>
  <w:style w:type="paragraph" w:customStyle="1" w:styleId="level2">
    <w:name w:val="level2"/>
    <w:basedOn w:val="Normal"/>
    <w:uiPriority w:val="99"/>
    <w:qFormat/>
    <w:pPr>
      <w:numPr>
        <w:ilvl w:val="1"/>
        <w:numId w:val="4"/>
      </w:numPr>
    </w:pPr>
  </w:style>
  <w:style w:type="paragraph" w:customStyle="1" w:styleId="level3">
    <w:name w:val="level3"/>
    <w:basedOn w:val="Normal"/>
    <w:uiPriority w:val="99"/>
    <w:qFormat/>
    <w:pPr>
      <w:numPr>
        <w:ilvl w:val="2"/>
        <w:numId w:val="4"/>
      </w:numPr>
    </w:pPr>
  </w:style>
  <w:style w:type="paragraph" w:customStyle="1" w:styleId="level4">
    <w:name w:val="level4"/>
    <w:basedOn w:val="Normal"/>
    <w:uiPriority w:val="99"/>
    <w:qFormat/>
    <w:pPr>
      <w:numPr>
        <w:ilvl w:val="3"/>
        <w:numId w:val="4"/>
      </w:numPr>
    </w:pPr>
  </w:style>
  <w:style w:type="paragraph" w:customStyle="1" w:styleId="level5">
    <w:name w:val="level5"/>
    <w:basedOn w:val="Normal"/>
    <w:uiPriority w:val="99"/>
    <w:qFormat/>
    <w:pPr>
      <w:numPr>
        <w:ilvl w:val="4"/>
        <w:numId w:val="4"/>
      </w:numPr>
    </w:pPr>
  </w:style>
  <w:style w:type="paragraph" w:customStyle="1" w:styleId="level6">
    <w:name w:val="level6"/>
    <w:basedOn w:val="Normal"/>
    <w:uiPriority w:val="99"/>
    <w:qFormat/>
    <w:pPr>
      <w:numPr>
        <w:ilvl w:val="5"/>
        <w:numId w:val="4"/>
      </w:numPr>
    </w:pPr>
  </w:style>
  <w:style w:type="character" w:styleId="PageNumber">
    <w:name w:val="page number"/>
    <w:semiHidden/>
    <w:rPr>
      <w:rFonts w:ascii="Arial" w:hAnsi="Arial"/>
      <w:sz w:val="16"/>
    </w:rPr>
  </w:style>
  <w:style w:type="paragraph" w:customStyle="1" w:styleId="PartyRecital">
    <w:name w:val="Party Recital"/>
    <w:basedOn w:val="Normal"/>
    <w:qFormat/>
    <w:pPr>
      <w:spacing w:before="160"/>
      <w:ind w:left="284"/>
    </w:pPr>
  </w:style>
  <w:style w:type="paragraph" w:customStyle="1" w:styleId="Schedule">
    <w:name w:val="Schedule"/>
    <w:basedOn w:val="Normal"/>
    <w:next w:val="ScheduleHeading"/>
    <w:qFormat/>
    <w:pPr>
      <w:keepNext/>
      <w:numPr>
        <w:numId w:val="5"/>
      </w:numPr>
      <w:spacing w:before="200"/>
    </w:pPr>
    <w:rPr>
      <w:b/>
      <w:sz w:val="22"/>
    </w:rPr>
  </w:style>
  <w:style w:type="paragraph" w:customStyle="1" w:styleId="Schedule1">
    <w:name w:val="Schedule 1"/>
    <w:basedOn w:val="Normal"/>
    <w:next w:val="Schedule2"/>
    <w:qFormat/>
    <w:pPr>
      <w:keepNext/>
      <w:numPr>
        <w:ilvl w:val="2"/>
        <w:numId w:val="5"/>
      </w:numPr>
      <w:spacing w:before="200"/>
    </w:pPr>
    <w:rPr>
      <w:b/>
      <w:sz w:val="22"/>
    </w:rPr>
  </w:style>
  <w:style w:type="paragraph" w:customStyle="1" w:styleId="Schedule2">
    <w:name w:val="Schedule 2"/>
    <w:basedOn w:val="Normal"/>
    <w:next w:val="NormalIndent"/>
    <w:pPr>
      <w:keepNext/>
      <w:numPr>
        <w:ilvl w:val="3"/>
        <w:numId w:val="5"/>
      </w:numPr>
      <w:spacing w:before="160"/>
    </w:pPr>
    <w:rPr>
      <w:b/>
      <w:sz w:val="21"/>
    </w:rPr>
  </w:style>
  <w:style w:type="paragraph" w:customStyle="1" w:styleId="Schedule3">
    <w:name w:val="Schedule 3"/>
    <w:basedOn w:val="Normal"/>
    <w:pPr>
      <w:numPr>
        <w:ilvl w:val="4"/>
        <w:numId w:val="5"/>
      </w:numPr>
    </w:pPr>
  </w:style>
  <w:style w:type="paragraph" w:customStyle="1" w:styleId="Schedule4">
    <w:name w:val="Schedule 4"/>
    <w:basedOn w:val="Normal"/>
    <w:qFormat/>
    <w:pPr>
      <w:numPr>
        <w:ilvl w:val="5"/>
        <w:numId w:val="5"/>
      </w:numPr>
    </w:pPr>
  </w:style>
  <w:style w:type="paragraph" w:customStyle="1" w:styleId="Schedule5">
    <w:name w:val="Schedule 5"/>
    <w:basedOn w:val="Normal"/>
    <w:qFormat/>
    <w:pPr>
      <w:numPr>
        <w:ilvl w:val="6"/>
        <w:numId w:val="5"/>
      </w:numPr>
    </w:pPr>
  </w:style>
  <w:style w:type="paragraph" w:customStyle="1" w:styleId="Schedule6">
    <w:name w:val="Schedule 6"/>
    <w:basedOn w:val="Normal"/>
    <w:qFormat/>
    <w:pPr>
      <w:numPr>
        <w:ilvl w:val="7"/>
        <w:numId w:val="5"/>
      </w:numPr>
    </w:pPr>
  </w:style>
  <w:style w:type="paragraph" w:customStyle="1" w:styleId="ScheduleHeading">
    <w:name w:val="Schedule Heading"/>
    <w:basedOn w:val="Normal"/>
    <w:next w:val="Schedule1"/>
    <w:qFormat/>
    <w:pPr>
      <w:keepNext/>
      <w:numPr>
        <w:ilvl w:val="1"/>
        <w:numId w:val="5"/>
      </w:numPr>
      <w:spacing w:before="160"/>
      <w:outlineLvl w:val="1"/>
    </w:pPr>
    <w:rPr>
      <w:b/>
      <w:sz w:val="22"/>
    </w:rPr>
  </w:style>
  <w:style w:type="paragraph" w:styleId="Title">
    <w:name w:val="Title"/>
    <w:basedOn w:val="Normal"/>
    <w:link w:val="TitleChar"/>
    <w:qFormat/>
    <w:pPr>
      <w:keepNext/>
      <w:spacing w:before="0" w:after="60"/>
    </w:pPr>
    <w:rPr>
      <w:sz w:val="32"/>
    </w:rPr>
  </w:style>
  <w:style w:type="paragraph" w:styleId="TOC1">
    <w:name w:val="toc 1"/>
    <w:basedOn w:val="Normal"/>
    <w:next w:val="TOC2"/>
    <w:uiPriority w:val="39"/>
    <w:qFormat/>
    <w:pPr>
      <w:tabs>
        <w:tab w:val="right" w:pos="9354"/>
      </w:tabs>
      <w:spacing w:line="240" w:lineRule="auto"/>
      <w:ind w:left="709" w:hanging="709"/>
    </w:pPr>
    <w:rPr>
      <w:rFonts w:ascii="Arial Bold" w:hAnsi="Arial Bold"/>
      <w:b/>
      <w:noProof/>
    </w:rPr>
  </w:style>
  <w:style w:type="paragraph" w:styleId="TOC2">
    <w:name w:val="toc 2"/>
    <w:basedOn w:val="Normal"/>
    <w:uiPriority w:val="39"/>
    <w:qFormat/>
    <w:pPr>
      <w:tabs>
        <w:tab w:val="right" w:pos="9354"/>
      </w:tabs>
      <w:spacing w:before="60" w:line="240" w:lineRule="auto"/>
      <w:ind w:left="1418" w:hanging="709"/>
    </w:pPr>
    <w:rPr>
      <w:noProof/>
    </w:rPr>
  </w:style>
  <w:style w:type="paragraph" w:styleId="TOC3">
    <w:name w:val="toc 3"/>
    <w:basedOn w:val="Normal"/>
    <w:autoRedefine/>
    <w:semiHidden/>
    <w:pPr>
      <w:tabs>
        <w:tab w:val="right" w:pos="9354"/>
      </w:tabs>
      <w:spacing w:before="60" w:line="240" w:lineRule="auto"/>
      <w:ind w:left="709"/>
    </w:pPr>
    <w:rPr>
      <w:noProof/>
    </w:rPr>
  </w:style>
  <w:style w:type="paragraph" w:styleId="TOC4">
    <w:name w:val="toc 4"/>
    <w:basedOn w:val="Normal"/>
    <w:next w:val="Normal"/>
    <w:autoRedefine/>
    <w:semiHidden/>
    <w:pPr>
      <w:tabs>
        <w:tab w:val="right" w:pos="9354"/>
      </w:tabs>
      <w:spacing w:before="60" w:line="240" w:lineRule="auto"/>
      <w:ind w:left="2835" w:hanging="709"/>
    </w:pPr>
    <w:rPr>
      <w:noProof/>
    </w:rPr>
  </w:style>
  <w:style w:type="paragraph" w:styleId="TOC5">
    <w:name w:val="toc 5"/>
    <w:basedOn w:val="Normal"/>
    <w:next w:val="Normal"/>
    <w:autoRedefine/>
    <w:semiHidden/>
    <w:pPr>
      <w:tabs>
        <w:tab w:val="right" w:pos="9354"/>
      </w:tabs>
      <w:ind w:left="3544" w:hanging="709"/>
    </w:pPr>
  </w:style>
  <w:style w:type="paragraph" w:styleId="TOC6">
    <w:name w:val="toc 6"/>
    <w:basedOn w:val="Normal"/>
    <w:next w:val="Normal"/>
    <w:autoRedefine/>
    <w:semiHidden/>
    <w:pPr>
      <w:tabs>
        <w:tab w:val="right" w:pos="9354"/>
      </w:tabs>
      <w:ind w:left="4253" w:hanging="709"/>
    </w:pPr>
  </w:style>
  <w:style w:type="paragraph" w:styleId="TOC7">
    <w:name w:val="toc 7"/>
    <w:basedOn w:val="Normal"/>
    <w:next w:val="Normal"/>
    <w:autoRedefine/>
    <w:semiHidden/>
    <w:pPr>
      <w:ind w:left="1200"/>
    </w:pPr>
  </w:style>
  <w:style w:type="paragraph" w:styleId="TOC8">
    <w:name w:val="toc 8"/>
    <w:basedOn w:val="Normal"/>
    <w:next w:val="Normal"/>
    <w:autoRedefine/>
    <w:semiHidden/>
    <w:pPr>
      <w:ind w:left="1400"/>
    </w:pPr>
  </w:style>
  <w:style w:type="paragraph" w:styleId="TOC9">
    <w:name w:val="toc 9"/>
    <w:basedOn w:val="Normal"/>
    <w:next w:val="Normal"/>
    <w:autoRedefine/>
    <w:uiPriority w:val="39"/>
    <w:semiHidden/>
    <w:pPr>
      <w:ind w:left="1600"/>
    </w:p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semiHidden/>
    <w:qFormat/>
    <w:pPr>
      <w:ind w:left="720"/>
      <w:contextualSpacing/>
    </w:pPr>
  </w:style>
  <w:style w:type="character" w:customStyle="1" w:styleId="TitleChar">
    <w:name w:val="Title Char"/>
    <w:basedOn w:val="DefaultParagraphFont"/>
    <w:link w:val="Title"/>
    <w:rPr>
      <w:rFonts w:ascii="Arial" w:eastAsia="Times New Roman" w:hAnsi="Arial" w:cs="Times New Roman"/>
      <w:sz w:val="32"/>
      <w:szCs w:val="20"/>
    </w:rPr>
  </w:style>
  <w:style w:type="character" w:customStyle="1" w:styleId="NormalIndentChar">
    <w:name w:val="Normal Indent Char"/>
    <w:link w:val="NormalIndent"/>
    <w:uiPriority w:val="99"/>
    <w:rPr>
      <w:rFonts w:ascii="Arial" w:eastAsia="Times New Roman" w:hAnsi="Arial" w:cs="Times New Roman"/>
      <w:sz w:val="20"/>
      <w:szCs w:val="20"/>
    </w:rPr>
  </w:style>
  <w:style w:type="paragraph" w:styleId="Revision">
    <w:name w:val="Revision"/>
    <w:hidden/>
    <w:uiPriority w:val="99"/>
    <w:semiHidden/>
    <w:pPr>
      <w:spacing w:after="0" w:line="240" w:lineRule="auto"/>
    </w:pPr>
    <w:rPr>
      <w:rFonts w:ascii="Arial" w:eastAsia="Times New Roman" w:hAnsi="Arial" w:cs="Times New Roman"/>
      <w:sz w:val="20"/>
      <w:szCs w:val="20"/>
    </w:rPr>
  </w:style>
  <w:style w:type="character" w:customStyle="1" w:styleId="AllensHeading2Char">
    <w:name w:val="Allens Heading 2 Char"/>
    <w:basedOn w:val="DefaultParagraphFont"/>
    <w:link w:val="AllensHeading2"/>
    <w:rPr>
      <w:rFonts w:ascii="Arial" w:eastAsia="Times New Roman" w:hAnsi="Arial" w:cs="Times New Roman"/>
      <w:b/>
      <w:sz w:val="21"/>
      <w:szCs w:val="20"/>
    </w:rPr>
  </w:style>
  <w:style w:type="character" w:customStyle="1" w:styleId="AllensHeading3Char">
    <w:name w:val="Allens Heading 3 Char"/>
    <w:link w:val="AllensHeading3"/>
    <w:locked/>
    <w:rPr>
      <w:rFonts w:ascii="Arial" w:eastAsia="Times New Roman" w:hAnsi="Arial" w:cs="Times New Roman"/>
      <w:sz w:val="20"/>
      <w:szCs w:val="20"/>
    </w:rPr>
  </w:style>
  <w:style w:type="character" w:customStyle="1" w:styleId="HeaderChar">
    <w:name w:val="Header Char"/>
    <w:basedOn w:val="DefaultParagraphFont"/>
    <w:link w:val="Header"/>
    <w:rsid w:val="004810B5"/>
    <w:rPr>
      <w:rFonts w:ascii="Arial" w:eastAsia="Times New Roman" w:hAnsi="Arial" w:cs="Times New Roman"/>
      <w:sz w:val="16"/>
      <w:szCs w:val="20"/>
    </w:rPr>
  </w:style>
  <w:style w:type="character" w:customStyle="1" w:styleId="FooterChar">
    <w:name w:val="Footer Char"/>
    <w:basedOn w:val="DefaultParagraphFont"/>
    <w:link w:val="Footer"/>
    <w:uiPriority w:val="99"/>
    <w:rsid w:val="004810B5"/>
    <w:rPr>
      <w:rFonts w:ascii="Arial" w:eastAsia="Times New Roman" w:hAnsi="Arial" w:cs="Times New Roman"/>
      <w:sz w:val="1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header" Target="header4.xml"/><Relationship Id="rId18" Type="http://schemas.openxmlformats.org/officeDocument/2006/relationships/header" Target="header6.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10" Type="http://schemas.openxmlformats.org/officeDocument/2006/relationships/footer" Target="foot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header" Target="header8.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Allens-palette-0521">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942206-7646-4185-A365-324B0149D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4158</Words>
  <Characters>23701</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Allens</Company>
  <LinksUpToDate>false</LinksUpToDate>
  <CharactersWithSpaces>27804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Allens</dc:creator>
  <dc:description>Build Number 2.18.6459; recital table fix + Build|Version watermark &amp; Disclaimer text hardcoded for DocXTools</dc:description>
  <cp:lastModifiedBy>Allens</cp:lastModifiedBy>
  <cp:revision>2</cp:revision>
  <cp:lastPrinted>2017-02-20T02:50:00Z</cp:lastPrinted>
  <dcterms:created xsi:type="dcterms:W3CDTF">2025-02-11T06:31:00Z</dcterms:created>
  <dcterms:modified xsi:type="dcterms:W3CDTF">2025-02-11T06:31:00Z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euam A0143972682v1 150000 </vt:lpwstr>
  </property>
  <property fmtid="{D5CDD505-2E9C-101B-9397-08002B2CF9AE}" pid="3" name="DOCSDocNumber">
    <vt:lpwstr>43972682</vt:lpwstr>
  </property>
  <property fmtid="{D5CDD505-2E9C-101B-9397-08002B2CF9AE}" pid="4" name="DOCSDocumentID">
    <vt:lpwstr>A0143972682</vt:lpwstr>
  </property>
  <property fmtid="{D5CDD505-2E9C-101B-9397-08002B2CF9AE}" pid="5" name="DOCSDocName">
    <vt:lpwstr>A-Suite Simple Agreement for Future Equity - EUAM draft 2018</vt:lpwstr>
  </property>
  <property fmtid="{D5CDD505-2E9C-101B-9397-08002B2CF9AE}" pid="6" name="DOCSAuthorID">
    <vt:lpwstr>euam</vt:lpwstr>
  </property>
  <property fmtid="{D5CDD505-2E9C-101B-9397-08002B2CF9AE}" pid="7" name="DOCSAuthorName">
    <vt:lpwstr>Adams, Elyse</vt:lpwstr>
  </property>
  <property fmtid="{D5CDD505-2E9C-101B-9397-08002B2CF9AE}" pid="8" name="DOCSMatterID">
    <vt:lpwstr>150000</vt:lpwstr>
  </property>
  <property fmtid="{D5CDD505-2E9C-101B-9397-08002B2CF9AE}" pid="9" name="DOCSMatterName">
    <vt:lpwstr>Office Administration</vt:lpwstr>
  </property>
  <property fmtid="{D5CDD505-2E9C-101B-9397-08002B2CF9AE}" pid="10" name="DOCSTypistID">
    <vt:lpwstr>euam</vt:lpwstr>
  </property>
  <property fmtid="{D5CDD505-2E9C-101B-9397-08002B2CF9AE}" pid="11" name="DOCSTypistName">
    <vt:lpwstr>Adams, Elyse</vt:lpwstr>
  </property>
  <property fmtid="{D5CDD505-2E9C-101B-9397-08002B2CF9AE}" pid="12" name="DOCSDocTypeID">
    <vt:lpwstr>Document</vt:lpwstr>
  </property>
  <property fmtid="{D5CDD505-2E9C-101B-9397-08002B2CF9AE}" pid="13" name="DOCSDocTypeDsc">
    <vt:lpwstr>DOCSDocTypeDsc</vt:lpwstr>
  </property>
  <property fmtid="{D5CDD505-2E9C-101B-9397-08002B2CF9AE}" pid="14" name="DOCSCreationDate">
    <vt:lpwstr>5/09/2018 5:21:44 PM</vt:lpwstr>
  </property>
  <property fmtid="{D5CDD505-2E9C-101B-9397-08002B2CF9AE}" pid="15" name="DOCSLastEditDate">
    <vt:lpwstr>5/09/2018 5:41:10 PM</vt:lpwstr>
  </property>
  <property fmtid="{D5CDD505-2E9C-101B-9397-08002B2CF9AE}" pid="16" name="DOCSClientID">
    <vt:lpwstr>1054473</vt:lpwstr>
  </property>
  <property fmtid="{D5CDD505-2E9C-101B-9397-08002B2CF9AE}" pid="17" name="DOCSClientName">
    <vt:lpwstr>Allens</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1</vt:lpwstr>
  </property>
  <property fmtid="{D5CDD505-2E9C-101B-9397-08002B2CF9AE}" pid="21" name="_DocHome">
    <vt:i4>-1232139912</vt:i4>
  </property>
  <property fmtid="{D5CDD505-2E9C-101B-9397-08002B2CF9AE}" pid="22" name="DocumentType">
    <vt:lpwstr>Agreement</vt:lpwstr>
  </property>
  <property fmtid="{D5CDD505-2E9C-101B-9397-08002B2CF9AE}" pid="23" name="DocType">
    <vt:lpwstr>Agreement</vt:lpwstr>
  </property>
  <property fmtid="{D5CDD505-2E9C-101B-9397-08002B2CF9AE}" pid="24" name="Dictionary">
    <vt:bool>false</vt:bool>
  </property>
  <property fmtid="{D5CDD505-2E9C-101B-9397-08002B2CF9AE}" pid="25" name="Attachment">
    <vt:bool>false</vt:bool>
  </property>
  <property fmtid="{D5CDD505-2E9C-101B-9397-08002B2CF9AE}" pid="26" name="Schedule">
    <vt:bool>true</vt:bool>
  </property>
  <property fmtid="{D5CDD505-2E9C-101B-9397-08002B2CF9AE}" pid="27" name="DocDraft">
    <vt:bool>true</vt:bool>
  </property>
  <property fmtid="{D5CDD505-2E9C-101B-9397-08002B2CF9AE}" pid="28" name="DocClean">
    <vt:bool>true</vt:bool>
  </property>
  <property fmtid="{D5CDD505-2E9C-101B-9397-08002B2CF9AE}" pid="29" name="iManageDocFooter">
    <vt:lpwstr>MNZS 811299444v6 MNZS</vt:lpwstr>
  </property>
  <property fmtid="{D5CDD505-2E9C-101B-9397-08002B2CF9AE}" pid="30" name="iManageDocNum">
    <vt:lpwstr>811299444</vt:lpwstr>
  </property>
  <property fmtid="{D5CDD505-2E9C-101B-9397-08002B2CF9AE}" pid="31" name="iManageAuthorID">
    <vt:lpwstr>MNZS</vt:lpwstr>
  </property>
  <property fmtid="{D5CDD505-2E9C-101B-9397-08002B2CF9AE}" pid="32" name="iManageAuthorName">
    <vt:lpwstr>Hunt, Madeleine</vt:lpwstr>
  </property>
  <property fmtid="{D5CDD505-2E9C-101B-9397-08002B2CF9AE}" pid="33" name="iManageVersion">
    <vt:lpwstr>6</vt:lpwstr>
  </property>
  <property fmtid="{D5CDD505-2E9C-101B-9397-08002B2CF9AE}" pid="34" name="iManageLastEditDate">
    <vt:lpwstr>2/11/2025 6:00:01 AM</vt:lpwstr>
  </property>
  <property fmtid="{D5CDD505-2E9C-101B-9397-08002B2CF9AE}" pid="35" name="iManageTypistID">
    <vt:lpwstr>YUJS</vt:lpwstr>
  </property>
  <property fmtid="{D5CDD505-2E9C-101B-9397-08002B2CF9AE}" pid="36" name="iManageTypistName">
    <vt:lpwstr>James, Lisa</vt:lpwstr>
  </property>
  <property fmtid="{D5CDD505-2E9C-101B-9397-08002B2CF9AE}" pid="37" name="iManageTypeID">
    <vt:lpwstr>DOC</vt:lpwstr>
  </property>
  <property fmtid="{D5CDD505-2E9C-101B-9397-08002B2CF9AE}" pid="38" name="iManageTypeDesc">
    <vt:lpwstr>Document, Miscellaneous, Project, Text or Web content</vt:lpwstr>
  </property>
  <property fmtid="{D5CDD505-2E9C-101B-9397-08002B2CF9AE}" pid="39" name="iManageFileName">
    <vt:lpwstr>MASTER - A-suite - Simple Agreement for Future Equity (SAFE) [Updated 18 December 2024]</vt:lpwstr>
  </property>
  <property fmtid="{D5CDD505-2E9C-101B-9397-08002B2CF9AE}" pid="40" name="iManageCreateDate">
    <vt:lpwstr>2/11/2025 6:00:01 AM</vt:lpwstr>
  </property>
  <property fmtid="{D5CDD505-2E9C-101B-9397-08002B2CF9AE}" pid="41" name="iManageMatterNumber">
    <vt:lpwstr>MNZS</vt:lpwstr>
  </property>
  <property fmtid="{D5CDD505-2E9C-101B-9397-08002B2CF9AE}" pid="42" name="iManageMatterDesc">
    <vt:lpwstr>Hunt, Madeleine</vt:lpwstr>
  </property>
  <property fmtid="{D5CDD505-2E9C-101B-9397-08002B2CF9AE}" pid="43" name="iManageDocumentID">
    <vt:lpwstr>DMS!811299444.6</vt:lpwstr>
  </property>
  <property fmtid="{D5CDD505-2E9C-101B-9397-08002B2CF9AE}" pid="44" name="iManageDatabaseName">
    <vt:lpwstr>DMS</vt:lpwstr>
  </property>
  <property fmtid="{D5CDD505-2E9C-101B-9397-08002B2CF9AE}" pid="45" name="iManageClientID">
    <vt:lpwstr>PERSONAL</vt:lpwstr>
  </property>
  <property fmtid="{D5CDD505-2E9C-101B-9397-08002B2CF9AE}" pid="46" name="iManageIsCheckedOut">
    <vt:lpwstr>-1</vt:lpwstr>
  </property>
</Properties>
</file>